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517191"/>
    <w:bookmarkEnd w:id="0"/>
    <w:p w14:paraId="2BED9BF2" w14:textId="69EA5325" w:rsidR="005000F9" w:rsidRPr="005000F9" w:rsidRDefault="005000F9" w:rsidP="3119CF4B">
      <w:pPr>
        <w:jc w:val="both"/>
        <w:rPr>
          <w:rFonts w:ascii="Aptos" w:hAnsi="Aptos"/>
          <w:b/>
          <w:bCs/>
          <w:sz w:val="24"/>
          <w:szCs w:val="24"/>
        </w:rPr>
      </w:pPr>
      <w:r w:rsidRPr="005000F9">
        <w:rPr>
          <w:rFonts w:ascii="Aptos" w:hAnsi="Aptos" w:cs="Arial"/>
          <w:noProof/>
          <w:sz w:val="24"/>
          <w:szCs w:val="24"/>
        </w:rPr>
        <mc:AlternateContent>
          <mc:Choice Requires="wps">
            <w:drawing>
              <wp:anchor distT="45720" distB="45720" distL="114300" distR="114300" simplePos="0" relativeHeight="251658240" behindDoc="0" locked="0" layoutInCell="1" allowOverlap="1" wp14:anchorId="014A4FFD" wp14:editId="33705861">
                <wp:simplePos x="0" y="0"/>
                <wp:positionH relativeFrom="margin">
                  <wp:align>right</wp:align>
                </wp:positionH>
                <wp:positionV relativeFrom="paragraph">
                  <wp:posOffset>0</wp:posOffset>
                </wp:positionV>
                <wp:extent cx="5762625" cy="12001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200150"/>
                        </a:xfrm>
                        <a:prstGeom prst="rect">
                          <a:avLst/>
                        </a:prstGeom>
                        <a:solidFill>
                          <a:srgbClr val="FFFFFF"/>
                        </a:solidFill>
                        <a:ln w="9525">
                          <a:noFill/>
                          <a:miter lim="800000"/>
                          <a:headEnd/>
                          <a:tailEnd/>
                        </a:ln>
                      </wps:spPr>
                      <wps:txbx>
                        <w:txbxContent>
                          <w:p w14:paraId="64FADD8C" w14:textId="77777777" w:rsidR="005000F9" w:rsidRPr="005A25D1" w:rsidRDefault="005000F9" w:rsidP="005000F9">
                            <w:pPr>
                              <w:jc w:val="both"/>
                              <w:rPr>
                                <w:rFonts w:ascii="Arial" w:hAnsi="Arial" w:cs="Arial"/>
                                <w:b/>
                                <w:bCs/>
                                <w:sz w:val="22"/>
                                <w:szCs w:val="22"/>
                              </w:rPr>
                            </w:pPr>
                            <w:r>
                              <w:rPr>
                                <w:rFonts w:ascii="Arial" w:hAnsi="Arial" w:cs="Arial"/>
                                <w:b/>
                                <w:bCs/>
                                <w:sz w:val="22"/>
                                <w:szCs w:val="22"/>
                              </w:rPr>
                              <w:t>North East Offshore Wind Infrastructure Programme</w:t>
                            </w:r>
                          </w:p>
                          <w:p w14:paraId="0712324F" w14:textId="77777777" w:rsidR="005000F9" w:rsidRDefault="005000F9" w:rsidP="005000F9">
                            <w:pPr>
                              <w:jc w:val="both"/>
                              <w:rPr>
                                <w:rFonts w:ascii="Arial" w:hAnsi="Arial" w:cs="Arial"/>
                                <w:b/>
                                <w:bCs/>
                                <w:sz w:val="22"/>
                                <w:szCs w:val="22"/>
                              </w:rPr>
                            </w:pPr>
                          </w:p>
                          <w:p w14:paraId="6020AA22" w14:textId="77777777" w:rsidR="005000F9" w:rsidRPr="005A25D1" w:rsidRDefault="005000F9" w:rsidP="005000F9">
                            <w:pPr>
                              <w:jc w:val="both"/>
                              <w:rPr>
                                <w:rFonts w:ascii="Arial" w:hAnsi="Arial" w:cs="Arial"/>
                                <w:b/>
                                <w:bCs/>
                                <w:sz w:val="22"/>
                                <w:szCs w:val="22"/>
                              </w:rPr>
                            </w:pPr>
                            <w:r w:rsidRPr="005A25D1">
                              <w:rPr>
                                <w:rFonts w:ascii="Arial" w:hAnsi="Arial" w:cs="Arial"/>
                                <w:b/>
                                <w:bCs/>
                                <w:sz w:val="22"/>
                                <w:szCs w:val="22"/>
                              </w:rPr>
                              <w:t>Call for Project Proposals - Information for applicants</w:t>
                            </w:r>
                          </w:p>
                          <w:p w14:paraId="602BC559" w14:textId="77777777" w:rsidR="005000F9" w:rsidRDefault="005000F9" w:rsidP="005000F9">
                            <w:pPr>
                              <w:jc w:val="both"/>
                              <w:rPr>
                                <w:rFonts w:ascii="Arial" w:hAnsi="Arial" w:cs="Arial"/>
                                <w:sz w:val="22"/>
                                <w:szCs w:val="22"/>
                              </w:rPr>
                            </w:pPr>
                          </w:p>
                          <w:p w14:paraId="0A3ECFDC" w14:textId="56F9791A" w:rsidR="005000F9" w:rsidRPr="003349AF" w:rsidRDefault="005000F9" w:rsidP="005000F9">
                            <w:pPr>
                              <w:jc w:val="both"/>
                              <w:rPr>
                                <w:rFonts w:ascii="Arial" w:hAnsi="Arial" w:cs="Arial"/>
                                <w:sz w:val="22"/>
                                <w:szCs w:val="22"/>
                              </w:rPr>
                            </w:pPr>
                            <w:r w:rsidRPr="003349AF">
                              <w:rPr>
                                <w:rFonts w:ascii="Arial" w:hAnsi="Arial" w:cs="Arial"/>
                                <w:sz w:val="22"/>
                                <w:szCs w:val="22"/>
                              </w:rPr>
                              <w:t xml:space="preserve">Call Opens – </w:t>
                            </w:r>
                            <w:r w:rsidR="003349AF" w:rsidRPr="003349AF">
                              <w:rPr>
                                <w:rFonts w:ascii="Arial" w:hAnsi="Arial" w:cs="Arial"/>
                                <w:sz w:val="22"/>
                                <w:szCs w:val="22"/>
                              </w:rPr>
                              <w:t>18</w:t>
                            </w:r>
                            <w:r w:rsidRPr="003349AF">
                              <w:rPr>
                                <w:rFonts w:ascii="Arial" w:hAnsi="Arial" w:cs="Arial"/>
                                <w:sz w:val="22"/>
                                <w:szCs w:val="22"/>
                              </w:rPr>
                              <w:t>/</w:t>
                            </w:r>
                            <w:r w:rsidR="003349AF" w:rsidRPr="003349AF">
                              <w:rPr>
                                <w:rFonts w:ascii="Arial" w:hAnsi="Arial" w:cs="Arial"/>
                                <w:sz w:val="22"/>
                                <w:szCs w:val="22"/>
                              </w:rPr>
                              <w:t>05</w:t>
                            </w:r>
                            <w:r w:rsidRPr="003349AF">
                              <w:rPr>
                                <w:rFonts w:ascii="Arial" w:hAnsi="Arial" w:cs="Arial"/>
                                <w:sz w:val="22"/>
                                <w:szCs w:val="22"/>
                              </w:rPr>
                              <w:t>/2026</w:t>
                            </w:r>
                          </w:p>
                          <w:p w14:paraId="26B8ED4F" w14:textId="49E9A02F" w:rsidR="005000F9" w:rsidRPr="002A7F9F" w:rsidRDefault="005000F9" w:rsidP="005000F9">
                            <w:pPr>
                              <w:jc w:val="both"/>
                              <w:rPr>
                                <w:rFonts w:ascii="Arial" w:hAnsi="Arial" w:cs="Arial"/>
                                <w:sz w:val="22"/>
                                <w:szCs w:val="22"/>
                              </w:rPr>
                            </w:pPr>
                            <w:r w:rsidRPr="003349AF">
                              <w:rPr>
                                <w:rFonts w:ascii="Arial" w:hAnsi="Arial" w:cs="Arial"/>
                                <w:sz w:val="22"/>
                                <w:szCs w:val="22"/>
                              </w:rPr>
                              <w:t xml:space="preserve">Call Closes – </w:t>
                            </w:r>
                            <w:r w:rsidR="003349AF" w:rsidRPr="003349AF">
                              <w:rPr>
                                <w:rFonts w:ascii="Arial" w:hAnsi="Arial" w:cs="Arial"/>
                                <w:sz w:val="22"/>
                                <w:szCs w:val="22"/>
                              </w:rPr>
                              <w:t>08/06/</w:t>
                            </w:r>
                            <w:r w:rsidRPr="003349AF">
                              <w:rPr>
                                <w:rFonts w:ascii="Arial" w:hAnsi="Arial" w:cs="Arial"/>
                                <w:sz w:val="22"/>
                                <w:szCs w:val="22"/>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014A4FFD">
                <v:stroke joinstyle="miter"/>
                <v:path gradientshapeok="t" o:connecttype="rect"/>
              </v:shapetype>
              <v:shape id="Text Box 2" style="position:absolute;left:0;text-align:left;margin-left:402.55pt;margin-top:0;width:453.75pt;height:9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">
                <v:textbox>
                  <w:txbxContent>
                    <w:p w:rsidRPr="005A25D1" w:rsidR="005000F9" w:rsidP="005000F9" w:rsidRDefault="005000F9" w14:paraId="64FADD8C" w14:textId="77777777">
                      <w:pPr>
                        <w:jc w:val="both"/>
                        <w:rPr>
                          <w:rFonts w:ascii="Arial" w:hAnsi="Arial" w:cs="Arial"/>
                          <w:b/>
                          <w:bCs/>
                          <w:sz w:val="22"/>
                          <w:szCs w:val="22"/>
                        </w:rPr>
                      </w:pPr>
                      <w:r>
                        <w:rPr>
                          <w:rFonts w:ascii="Arial" w:hAnsi="Arial" w:cs="Arial"/>
                          <w:b/>
                          <w:bCs/>
                          <w:sz w:val="22"/>
                          <w:szCs w:val="22"/>
                        </w:rPr>
                        <w:t>North East Offshore Wind Infrastructure Programme</w:t>
                      </w:r>
                    </w:p>
                    <w:p w:rsidR="005000F9" w:rsidP="005000F9" w:rsidRDefault="005000F9" w14:paraId="0712324F" w14:textId="77777777">
                      <w:pPr>
                        <w:jc w:val="both"/>
                        <w:rPr>
                          <w:rFonts w:ascii="Arial" w:hAnsi="Arial" w:cs="Arial"/>
                          <w:b/>
                          <w:bCs/>
                          <w:sz w:val="22"/>
                          <w:szCs w:val="22"/>
                        </w:rPr>
                      </w:pPr>
                    </w:p>
                    <w:p w:rsidRPr="005A25D1" w:rsidR="005000F9" w:rsidP="005000F9" w:rsidRDefault="005000F9" w14:paraId="6020AA22" w14:textId="77777777">
                      <w:pPr>
                        <w:jc w:val="both"/>
                        <w:rPr>
                          <w:rFonts w:ascii="Arial" w:hAnsi="Arial" w:cs="Arial"/>
                          <w:b/>
                          <w:bCs/>
                          <w:sz w:val="22"/>
                          <w:szCs w:val="22"/>
                        </w:rPr>
                      </w:pPr>
                      <w:r w:rsidRPr="005A25D1">
                        <w:rPr>
                          <w:rFonts w:ascii="Arial" w:hAnsi="Arial" w:cs="Arial"/>
                          <w:b/>
                          <w:bCs/>
                          <w:sz w:val="22"/>
                          <w:szCs w:val="22"/>
                        </w:rPr>
                        <w:t>Call for Project Proposals - Information for applicants</w:t>
                      </w:r>
                    </w:p>
                    <w:p w:rsidR="005000F9" w:rsidP="005000F9" w:rsidRDefault="005000F9" w14:paraId="602BC559" w14:textId="77777777">
                      <w:pPr>
                        <w:jc w:val="both"/>
                        <w:rPr>
                          <w:rFonts w:ascii="Arial" w:hAnsi="Arial" w:cs="Arial"/>
                          <w:sz w:val="22"/>
                          <w:szCs w:val="22"/>
                        </w:rPr>
                      </w:pPr>
                    </w:p>
                    <w:p w:rsidRPr="003349AF" w:rsidR="005000F9" w:rsidP="005000F9" w:rsidRDefault="005000F9" w14:paraId="0A3ECFDC" w14:textId="56F9791A">
                      <w:pPr>
                        <w:jc w:val="both"/>
                        <w:rPr>
                          <w:rFonts w:ascii="Arial" w:hAnsi="Arial" w:cs="Arial"/>
                          <w:sz w:val="22"/>
                          <w:szCs w:val="22"/>
                        </w:rPr>
                      </w:pPr>
                      <w:r w:rsidRPr="003349AF">
                        <w:rPr>
                          <w:rFonts w:ascii="Arial" w:hAnsi="Arial" w:cs="Arial"/>
                          <w:sz w:val="22"/>
                          <w:szCs w:val="22"/>
                        </w:rPr>
                        <w:t xml:space="preserve">Call Opens – </w:t>
                      </w:r>
                      <w:r w:rsidRPr="003349AF" w:rsidR="003349AF">
                        <w:rPr>
                          <w:rFonts w:ascii="Arial" w:hAnsi="Arial" w:cs="Arial"/>
                          <w:sz w:val="22"/>
                          <w:szCs w:val="22"/>
                        </w:rPr>
                        <w:t>18</w:t>
                      </w:r>
                      <w:r w:rsidRPr="003349AF">
                        <w:rPr>
                          <w:rFonts w:ascii="Arial" w:hAnsi="Arial" w:cs="Arial"/>
                          <w:sz w:val="22"/>
                          <w:szCs w:val="22"/>
                        </w:rPr>
                        <w:t>/</w:t>
                      </w:r>
                      <w:r w:rsidRPr="003349AF" w:rsidR="003349AF">
                        <w:rPr>
                          <w:rFonts w:ascii="Arial" w:hAnsi="Arial" w:cs="Arial"/>
                          <w:sz w:val="22"/>
                          <w:szCs w:val="22"/>
                        </w:rPr>
                        <w:t>05</w:t>
                      </w:r>
                      <w:r w:rsidRPr="003349AF">
                        <w:rPr>
                          <w:rFonts w:ascii="Arial" w:hAnsi="Arial" w:cs="Arial"/>
                          <w:sz w:val="22"/>
                          <w:szCs w:val="22"/>
                        </w:rPr>
                        <w:t>/2026</w:t>
                      </w:r>
                    </w:p>
                    <w:p w:rsidRPr="002A7F9F" w:rsidR="005000F9" w:rsidP="005000F9" w:rsidRDefault="005000F9" w14:paraId="26B8ED4F" w14:textId="49E9A02F">
                      <w:pPr>
                        <w:jc w:val="both"/>
                        <w:rPr>
                          <w:rFonts w:ascii="Arial" w:hAnsi="Arial" w:cs="Arial"/>
                          <w:sz w:val="22"/>
                          <w:szCs w:val="22"/>
                        </w:rPr>
                      </w:pPr>
                      <w:r w:rsidRPr="003349AF">
                        <w:rPr>
                          <w:rFonts w:ascii="Arial" w:hAnsi="Arial" w:cs="Arial"/>
                          <w:sz w:val="22"/>
                          <w:szCs w:val="22"/>
                        </w:rPr>
                        <w:t xml:space="preserve">Call Closes – </w:t>
                      </w:r>
                      <w:r w:rsidRPr="003349AF" w:rsidR="003349AF">
                        <w:rPr>
                          <w:rFonts w:ascii="Arial" w:hAnsi="Arial" w:cs="Arial"/>
                          <w:sz w:val="22"/>
                          <w:szCs w:val="22"/>
                        </w:rPr>
                        <w:t>08/06/</w:t>
                      </w:r>
                      <w:r w:rsidRPr="003349AF">
                        <w:rPr>
                          <w:rFonts w:ascii="Arial" w:hAnsi="Arial" w:cs="Arial"/>
                          <w:sz w:val="22"/>
                          <w:szCs w:val="22"/>
                        </w:rPr>
                        <w:t>2026</w:t>
                      </w:r>
                    </w:p>
                  </w:txbxContent>
                </v:textbox>
                <w10:wrap type="square" anchorx="margin"/>
              </v:shape>
            </w:pict>
          </mc:Fallback>
        </mc:AlternateContent>
      </w:r>
      <w:r w:rsidRPr="005000F9">
        <w:rPr>
          <w:rFonts w:ascii="Aptos" w:hAnsi="Aptos"/>
          <w:b/>
          <w:bCs/>
          <w:sz w:val="24"/>
          <w:szCs w:val="24"/>
        </w:rPr>
        <w:t>Introduction</w:t>
      </w:r>
    </w:p>
    <w:p w14:paraId="444874C5" w14:textId="231C0780" w:rsidR="3119CF4B" w:rsidRDefault="3119CF4B" w:rsidP="3119CF4B">
      <w:pPr>
        <w:jc w:val="both"/>
        <w:rPr>
          <w:rFonts w:ascii="Aptos" w:hAnsi="Aptos" w:cs="Arial"/>
          <w:sz w:val="24"/>
          <w:szCs w:val="24"/>
        </w:rPr>
      </w:pPr>
    </w:p>
    <w:p w14:paraId="55845467" w14:textId="7597A703" w:rsidR="005000F9" w:rsidRPr="005000F9" w:rsidRDefault="007B6162" w:rsidP="005000F9">
      <w:pPr>
        <w:jc w:val="both"/>
        <w:rPr>
          <w:rFonts w:ascii="Aptos" w:hAnsi="Aptos" w:cs="Arial"/>
          <w:sz w:val="24"/>
          <w:szCs w:val="24"/>
        </w:rPr>
      </w:pPr>
      <w:r>
        <w:rPr>
          <w:rFonts w:ascii="Aptos" w:hAnsi="Aptos" w:cs="Arial"/>
          <w:sz w:val="24"/>
          <w:szCs w:val="24"/>
        </w:rPr>
        <w:t xml:space="preserve">As part of </w:t>
      </w:r>
      <w:r w:rsidR="00F83A36">
        <w:rPr>
          <w:rFonts w:ascii="Aptos" w:hAnsi="Aptos" w:cs="Arial"/>
          <w:sz w:val="24"/>
          <w:szCs w:val="24"/>
        </w:rPr>
        <w:t>delivering upon the</w:t>
      </w:r>
      <w:r>
        <w:rPr>
          <w:rFonts w:ascii="Aptos" w:hAnsi="Aptos" w:cs="Arial"/>
          <w:sz w:val="24"/>
          <w:szCs w:val="24"/>
        </w:rPr>
        <w:t xml:space="preserve"> Mayor’s Plan for Green Jobs, t</w:t>
      </w:r>
      <w:r w:rsidR="005000F9" w:rsidRPr="005000F9">
        <w:rPr>
          <w:rFonts w:ascii="Aptos" w:hAnsi="Aptos" w:cs="Arial"/>
          <w:sz w:val="24"/>
          <w:szCs w:val="24"/>
        </w:rPr>
        <w:t xml:space="preserve">he North East </w:t>
      </w:r>
      <w:r w:rsidR="00C14C71">
        <w:rPr>
          <w:rFonts w:ascii="Aptos" w:hAnsi="Aptos" w:cs="Arial"/>
          <w:sz w:val="24"/>
          <w:szCs w:val="24"/>
        </w:rPr>
        <w:t xml:space="preserve">Mayoral Strategic </w:t>
      </w:r>
      <w:r w:rsidR="005000F9" w:rsidRPr="005000F9">
        <w:rPr>
          <w:rFonts w:ascii="Aptos" w:hAnsi="Aptos" w:cs="Arial"/>
          <w:sz w:val="24"/>
          <w:szCs w:val="24"/>
        </w:rPr>
        <w:t xml:space="preserve">Authority has </w:t>
      </w:r>
      <w:r w:rsidR="00CB39BC">
        <w:rPr>
          <w:rFonts w:ascii="Aptos" w:hAnsi="Aptos" w:cs="Arial"/>
          <w:sz w:val="24"/>
          <w:szCs w:val="24"/>
        </w:rPr>
        <w:t>allocated £19.5m of capital funding for the North East O</w:t>
      </w:r>
      <w:r w:rsidR="005000F9" w:rsidRPr="005000F9">
        <w:rPr>
          <w:rFonts w:ascii="Aptos" w:hAnsi="Aptos" w:cs="Arial"/>
          <w:sz w:val="24"/>
          <w:szCs w:val="24"/>
        </w:rPr>
        <w:t xml:space="preserve">ffshore </w:t>
      </w:r>
      <w:r w:rsidR="00CB39BC">
        <w:rPr>
          <w:rFonts w:ascii="Aptos" w:hAnsi="Aptos" w:cs="Arial"/>
          <w:sz w:val="24"/>
          <w:szCs w:val="24"/>
        </w:rPr>
        <w:t>W</w:t>
      </w:r>
      <w:r w:rsidR="005000F9" w:rsidRPr="005000F9">
        <w:rPr>
          <w:rFonts w:ascii="Aptos" w:hAnsi="Aptos" w:cs="Arial"/>
          <w:sz w:val="24"/>
          <w:szCs w:val="24"/>
        </w:rPr>
        <w:t xml:space="preserve">ind </w:t>
      </w:r>
      <w:r w:rsidR="00CB39BC">
        <w:rPr>
          <w:rFonts w:ascii="Aptos" w:hAnsi="Aptos" w:cs="Arial"/>
          <w:sz w:val="24"/>
          <w:szCs w:val="24"/>
        </w:rPr>
        <w:t>I</w:t>
      </w:r>
      <w:r w:rsidR="005000F9" w:rsidRPr="005000F9">
        <w:rPr>
          <w:rFonts w:ascii="Aptos" w:hAnsi="Aptos" w:cs="Arial"/>
          <w:sz w:val="24"/>
          <w:szCs w:val="24"/>
        </w:rPr>
        <w:t xml:space="preserve">nfrastructure </w:t>
      </w:r>
      <w:r w:rsidR="00CB39BC">
        <w:rPr>
          <w:rFonts w:ascii="Aptos" w:hAnsi="Aptos" w:cs="Arial"/>
          <w:sz w:val="24"/>
          <w:szCs w:val="24"/>
        </w:rPr>
        <w:t xml:space="preserve">Programme </w:t>
      </w:r>
      <w:r w:rsidR="005000F9" w:rsidRPr="005000F9">
        <w:rPr>
          <w:rFonts w:ascii="Aptos" w:hAnsi="Aptos" w:cs="Arial"/>
          <w:sz w:val="24"/>
          <w:szCs w:val="24"/>
        </w:rPr>
        <w:t xml:space="preserve">to: </w:t>
      </w:r>
    </w:p>
    <w:p w14:paraId="50A6C3D1" w14:textId="77777777" w:rsidR="005000F9" w:rsidRPr="005000F9" w:rsidRDefault="005000F9" w:rsidP="005000F9">
      <w:pPr>
        <w:pStyle w:val="ListParagraph"/>
        <w:numPr>
          <w:ilvl w:val="0"/>
          <w:numId w:val="3"/>
        </w:numPr>
        <w:jc w:val="both"/>
        <w:rPr>
          <w:rFonts w:ascii="Aptos" w:hAnsi="Aptos"/>
          <w:sz w:val="24"/>
          <w:szCs w:val="24"/>
        </w:rPr>
      </w:pPr>
      <w:r w:rsidRPr="005000F9">
        <w:rPr>
          <w:rFonts w:ascii="Aptos" w:hAnsi="Aptos"/>
          <w:sz w:val="24"/>
          <w:szCs w:val="24"/>
        </w:rPr>
        <w:t>Bring forward tangible investments that create jobs and growth in the offshore wind sector.</w:t>
      </w:r>
    </w:p>
    <w:p w14:paraId="28B2FEF2" w14:textId="77777777" w:rsidR="005000F9" w:rsidRPr="005000F9" w:rsidRDefault="005000F9" w:rsidP="005000F9">
      <w:pPr>
        <w:pStyle w:val="ListParagraph"/>
        <w:numPr>
          <w:ilvl w:val="0"/>
          <w:numId w:val="3"/>
        </w:numPr>
        <w:jc w:val="both"/>
        <w:rPr>
          <w:rFonts w:ascii="Aptos" w:hAnsi="Aptos"/>
          <w:sz w:val="24"/>
          <w:szCs w:val="24"/>
        </w:rPr>
      </w:pPr>
      <w:r w:rsidRPr="005000F9">
        <w:rPr>
          <w:rFonts w:ascii="Aptos" w:hAnsi="Aptos"/>
          <w:sz w:val="24"/>
          <w:szCs w:val="24"/>
        </w:rPr>
        <w:t xml:space="preserve">Unlock the potential for accelerated growth – building on already world-class assets in offshore wind, subsea technology and the associated supply chain. </w:t>
      </w:r>
    </w:p>
    <w:p w14:paraId="75EB5178" w14:textId="77777777" w:rsidR="005000F9" w:rsidRPr="005000F9" w:rsidRDefault="005000F9" w:rsidP="005000F9">
      <w:pPr>
        <w:pStyle w:val="ListParagraph"/>
        <w:jc w:val="both"/>
        <w:rPr>
          <w:rFonts w:ascii="Aptos" w:hAnsi="Aptos"/>
          <w:sz w:val="24"/>
          <w:szCs w:val="24"/>
        </w:rPr>
      </w:pPr>
    </w:p>
    <w:p w14:paraId="291144A3" w14:textId="187C4406" w:rsidR="005000F9" w:rsidRPr="00331522" w:rsidRDefault="005000F9" w:rsidP="00331522">
      <w:pPr>
        <w:jc w:val="both"/>
        <w:rPr>
          <w:rFonts w:ascii="Aptos" w:hAnsi="Aptos" w:cs="Arial"/>
          <w:sz w:val="24"/>
          <w:szCs w:val="24"/>
        </w:rPr>
      </w:pPr>
      <w:r w:rsidRPr="005000F9">
        <w:rPr>
          <w:rFonts w:ascii="Aptos" w:hAnsi="Aptos" w:cs="Arial"/>
          <w:sz w:val="24"/>
          <w:szCs w:val="24"/>
        </w:rPr>
        <w:t>The North East has been active in offshore wind since the inception of the sector. The UK’s first offshore wind farm was constructed off the coast of Blyth in 2000</w:t>
      </w:r>
      <w:r w:rsidR="00991BE7">
        <w:rPr>
          <w:rFonts w:ascii="Aptos" w:hAnsi="Aptos" w:cs="Arial"/>
          <w:sz w:val="24"/>
          <w:szCs w:val="24"/>
        </w:rPr>
        <w:t>,</w:t>
      </w:r>
      <w:r w:rsidRPr="005000F9">
        <w:rPr>
          <w:rFonts w:ascii="Aptos" w:hAnsi="Aptos" w:cs="Arial"/>
          <w:sz w:val="24"/>
          <w:szCs w:val="24"/>
        </w:rPr>
        <w:t xml:space="preserve"> and the region is a national centre for offshore renewable energy technology and innovation. </w:t>
      </w:r>
    </w:p>
    <w:p w14:paraId="1682F403" w14:textId="77777777" w:rsidR="005000F9" w:rsidRPr="005000F9" w:rsidRDefault="005000F9" w:rsidP="005000F9">
      <w:pPr>
        <w:pStyle w:val="Default"/>
        <w:jc w:val="both"/>
        <w:rPr>
          <w:rFonts w:ascii="Aptos" w:hAnsi="Aptos"/>
          <w:color w:val="auto"/>
        </w:rPr>
      </w:pPr>
    </w:p>
    <w:p w14:paraId="38D7E5EA" w14:textId="77777777" w:rsidR="005000F9" w:rsidRPr="005000F9" w:rsidRDefault="005000F9" w:rsidP="005000F9">
      <w:pPr>
        <w:pStyle w:val="ListParagraph"/>
        <w:numPr>
          <w:ilvl w:val="0"/>
          <w:numId w:val="4"/>
        </w:numPr>
        <w:jc w:val="both"/>
        <w:rPr>
          <w:rFonts w:ascii="Aptos" w:hAnsi="Aptos"/>
          <w:b/>
          <w:bCs/>
          <w:sz w:val="24"/>
          <w:szCs w:val="24"/>
        </w:rPr>
      </w:pPr>
      <w:r w:rsidRPr="005000F9">
        <w:rPr>
          <w:rFonts w:ascii="Aptos" w:hAnsi="Aptos"/>
          <w:b/>
          <w:bCs/>
          <w:sz w:val="24"/>
          <w:szCs w:val="24"/>
        </w:rPr>
        <w:t>Call focus – Eligibility Criteria</w:t>
      </w:r>
    </w:p>
    <w:p w14:paraId="4D9C1F25" w14:textId="1D507C60" w:rsidR="005000F9" w:rsidRPr="005000F9" w:rsidRDefault="005000F9" w:rsidP="005000F9">
      <w:pPr>
        <w:jc w:val="both"/>
        <w:rPr>
          <w:rFonts w:ascii="Aptos" w:hAnsi="Aptos" w:cs="Arial"/>
          <w:sz w:val="24"/>
          <w:szCs w:val="24"/>
        </w:rPr>
      </w:pPr>
      <w:r w:rsidRPr="005000F9">
        <w:rPr>
          <w:rFonts w:ascii="Aptos" w:hAnsi="Aptos" w:cs="Arial"/>
          <w:sz w:val="24"/>
          <w:szCs w:val="24"/>
        </w:rPr>
        <w:t>The programme will support the development of a robust pipeline of investable propositions with a focus on developing infrastructure in ports and quays to meet the needs of the offshore wind supply chain.</w:t>
      </w:r>
      <w:r w:rsidR="00D67AD0">
        <w:rPr>
          <w:rFonts w:ascii="Aptos" w:hAnsi="Aptos" w:cs="Arial"/>
          <w:sz w:val="24"/>
          <w:szCs w:val="24"/>
        </w:rPr>
        <w:t xml:space="preserve"> </w:t>
      </w:r>
    </w:p>
    <w:p w14:paraId="042E8996" w14:textId="22213994" w:rsidR="005000F9" w:rsidRPr="005000F9" w:rsidRDefault="005000F9" w:rsidP="005000F9">
      <w:pPr>
        <w:jc w:val="both"/>
        <w:rPr>
          <w:rFonts w:ascii="Aptos" w:hAnsi="Aptos" w:cs="Arial"/>
          <w:sz w:val="24"/>
          <w:szCs w:val="24"/>
        </w:rPr>
      </w:pPr>
    </w:p>
    <w:p w14:paraId="0860E76F" w14:textId="77777777" w:rsidR="005000F9" w:rsidRPr="005000F9" w:rsidRDefault="005000F9" w:rsidP="005000F9">
      <w:pPr>
        <w:jc w:val="both"/>
        <w:rPr>
          <w:rFonts w:ascii="Aptos" w:hAnsi="Aptos" w:cs="Arial"/>
          <w:sz w:val="24"/>
          <w:szCs w:val="24"/>
        </w:rPr>
      </w:pPr>
      <w:r w:rsidRPr="005000F9">
        <w:rPr>
          <w:rFonts w:ascii="Aptos" w:hAnsi="Aptos" w:cs="Arial"/>
          <w:sz w:val="24"/>
          <w:szCs w:val="24"/>
        </w:rPr>
        <w:t>Investment is broadly expected to be for, but not limited to capital investment in works, such as building, modification, equipment, project preparatory or delivery works.</w:t>
      </w:r>
      <w:r w:rsidRPr="005000F9">
        <w:rPr>
          <w:rFonts w:ascii="Aptos" w:hAnsi="Aptos"/>
          <w:sz w:val="24"/>
          <w:szCs w:val="24"/>
        </w:rPr>
        <w:t xml:space="preserve"> </w:t>
      </w:r>
    </w:p>
    <w:p w14:paraId="089B39AF" w14:textId="77777777" w:rsidR="005000F9" w:rsidRPr="005000F9" w:rsidRDefault="005000F9" w:rsidP="005000F9">
      <w:pPr>
        <w:pStyle w:val="ListParagraph"/>
        <w:jc w:val="both"/>
        <w:rPr>
          <w:rFonts w:ascii="Aptos" w:hAnsi="Aptos"/>
          <w:sz w:val="24"/>
          <w:szCs w:val="24"/>
        </w:rPr>
      </w:pPr>
    </w:p>
    <w:p w14:paraId="4600B66E" w14:textId="1E312B0A" w:rsidR="005000F9" w:rsidRPr="005000F9" w:rsidRDefault="005000F9" w:rsidP="0775E34F">
      <w:pPr>
        <w:contextualSpacing/>
        <w:jc w:val="both"/>
        <w:rPr>
          <w:rFonts w:ascii="Aptos" w:eastAsia="Times New Roman" w:hAnsi="Aptos" w:cs="Arial"/>
          <w:sz w:val="24"/>
          <w:szCs w:val="24"/>
        </w:rPr>
      </w:pPr>
      <w:r w:rsidRPr="0775E34F">
        <w:rPr>
          <w:rFonts w:ascii="Aptos" w:eastAsia="Times New Roman" w:hAnsi="Aptos" w:cs="Arial"/>
          <w:sz w:val="24"/>
          <w:szCs w:val="24"/>
        </w:rPr>
        <w:t>Revenue funding for detailed technical studies to enable delivery and investment will be eligible to apply to the North East</w:t>
      </w:r>
      <w:r w:rsidR="00C44F9F" w:rsidRPr="0775E34F">
        <w:rPr>
          <w:rFonts w:ascii="Aptos" w:eastAsia="Times New Roman" w:hAnsi="Aptos" w:cs="Arial"/>
          <w:sz w:val="24"/>
          <w:szCs w:val="24"/>
        </w:rPr>
        <w:t xml:space="preserve"> Mayoral Strategic Auth</w:t>
      </w:r>
      <w:r w:rsidR="00547087" w:rsidRPr="0775E34F">
        <w:rPr>
          <w:rFonts w:ascii="Aptos" w:eastAsia="Times New Roman" w:hAnsi="Aptos" w:cs="Arial"/>
          <w:sz w:val="24"/>
          <w:szCs w:val="24"/>
        </w:rPr>
        <w:t>ority</w:t>
      </w:r>
      <w:r w:rsidRPr="0775E34F">
        <w:rPr>
          <w:rFonts w:ascii="Aptos" w:eastAsia="Times New Roman" w:hAnsi="Aptos" w:cs="Arial"/>
          <w:sz w:val="24"/>
          <w:szCs w:val="24"/>
        </w:rPr>
        <w:t xml:space="preserve"> Business Case Development Fund. </w:t>
      </w:r>
      <w:r w:rsidR="4FEAF06D" w:rsidRPr="0775E34F">
        <w:rPr>
          <w:rFonts w:ascii="Aptos" w:eastAsia="Times New Roman" w:hAnsi="Aptos" w:cs="Arial"/>
          <w:sz w:val="24"/>
          <w:szCs w:val="24"/>
        </w:rPr>
        <w:t xml:space="preserve">The business case development fund allocated up to £250,000 per application, please note staff costs are not eligible. This is a limited fund and applications will be decided on a </w:t>
      </w:r>
      <w:r w:rsidR="67CD798D" w:rsidRPr="0775E34F">
        <w:rPr>
          <w:rFonts w:ascii="Aptos" w:eastAsia="Times New Roman" w:hAnsi="Aptos" w:cs="Arial"/>
          <w:sz w:val="24"/>
          <w:szCs w:val="24"/>
        </w:rPr>
        <w:t>case-by-case</w:t>
      </w:r>
      <w:r w:rsidR="4FEAF06D" w:rsidRPr="0775E34F">
        <w:rPr>
          <w:rFonts w:ascii="Aptos" w:eastAsia="Times New Roman" w:hAnsi="Aptos" w:cs="Arial"/>
          <w:sz w:val="24"/>
          <w:szCs w:val="24"/>
        </w:rPr>
        <w:t xml:space="preserve"> basis.</w:t>
      </w:r>
    </w:p>
    <w:p w14:paraId="24637B38" w14:textId="77777777" w:rsidR="005000F9" w:rsidRPr="005000F9" w:rsidRDefault="005000F9" w:rsidP="005000F9">
      <w:pPr>
        <w:jc w:val="both"/>
        <w:rPr>
          <w:rFonts w:ascii="Aptos" w:hAnsi="Aptos" w:cs="Arial"/>
          <w:sz w:val="24"/>
          <w:szCs w:val="24"/>
        </w:rPr>
      </w:pPr>
    </w:p>
    <w:p w14:paraId="177AE458" w14:textId="1D2D7DBE" w:rsidR="005000F9" w:rsidRPr="005000F9" w:rsidRDefault="005000F9" w:rsidP="005000F9">
      <w:pPr>
        <w:jc w:val="both"/>
        <w:rPr>
          <w:rFonts w:ascii="Aptos" w:hAnsi="Aptos" w:cs="Arial"/>
          <w:sz w:val="24"/>
          <w:szCs w:val="24"/>
        </w:rPr>
      </w:pPr>
      <w:r w:rsidRPr="005000F9">
        <w:rPr>
          <w:rFonts w:ascii="Aptos" w:hAnsi="Aptos" w:cs="Arial"/>
          <w:iCs/>
          <w:sz w:val="24"/>
          <w:szCs w:val="24"/>
        </w:rPr>
        <w:t xml:space="preserve">A minimum </w:t>
      </w:r>
      <w:r w:rsidRPr="00066D58">
        <w:rPr>
          <w:rFonts w:ascii="Aptos" w:hAnsi="Aptos" w:cs="Arial"/>
          <w:sz w:val="24"/>
          <w:szCs w:val="24"/>
        </w:rPr>
        <w:t xml:space="preserve">North East </w:t>
      </w:r>
      <w:r w:rsidR="113468B7" w:rsidRPr="00066D58">
        <w:rPr>
          <w:rFonts w:ascii="Aptos" w:hAnsi="Aptos" w:cs="Arial"/>
          <w:sz w:val="24"/>
          <w:szCs w:val="24"/>
        </w:rPr>
        <w:t>Mayoral Strategic Authority</w:t>
      </w:r>
      <w:r w:rsidRPr="00066D58">
        <w:rPr>
          <w:rFonts w:ascii="Aptos" w:hAnsi="Aptos" w:cs="Arial"/>
          <w:sz w:val="24"/>
          <w:szCs w:val="24"/>
        </w:rPr>
        <w:t xml:space="preserve"> </w:t>
      </w:r>
      <w:r w:rsidRPr="005000F9">
        <w:rPr>
          <w:rFonts w:ascii="Aptos" w:hAnsi="Aptos" w:cs="Arial"/>
          <w:iCs/>
          <w:sz w:val="24"/>
          <w:szCs w:val="24"/>
        </w:rPr>
        <w:t xml:space="preserve">investment of </w:t>
      </w:r>
      <w:r w:rsidRPr="00C44F9F">
        <w:rPr>
          <w:rFonts w:ascii="Aptos" w:hAnsi="Aptos" w:cs="Arial"/>
          <w:iCs/>
          <w:sz w:val="24"/>
          <w:szCs w:val="24"/>
        </w:rPr>
        <w:t>£</w:t>
      </w:r>
      <w:r w:rsidR="49EB2824" w:rsidRPr="00C44F9F">
        <w:rPr>
          <w:rFonts w:ascii="Aptos" w:hAnsi="Aptos" w:cs="Arial"/>
          <w:sz w:val="24"/>
          <w:szCs w:val="24"/>
        </w:rPr>
        <w:t>3 million</w:t>
      </w:r>
      <w:r w:rsidRPr="00C44F9F">
        <w:rPr>
          <w:rFonts w:ascii="Aptos" w:hAnsi="Aptos" w:cs="Arial"/>
          <w:sz w:val="24"/>
          <w:szCs w:val="24"/>
        </w:rPr>
        <w:t xml:space="preserve"> </w:t>
      </w:r>
      <w:r w:rsidRPr="005000F9">
        <w:rPr>
          <w:rFonts w:ascii="Aptos" w:hAnsi="Aptos" w:cs="Arial"/>
          <w:iCs/>
          <w:sz w:val="24"/>
          <w:szCs w:val="24"/>
        </w:rPr>
        <w:t>will apply to any single proje</w:t>
      </w:r>
      <w:r w:rsidRPr="00E70BB2">
        <w:rPr>
          <w:rFonts w:ascii="Aptos" w:hAnsi="Aptos" w:cs="Arial"/>
          <w:iCs/>
          <w:sz w:val="24"/>
          <w:szCs w:val="24"/>
        </w:rPr>
        <w:t>ct.</w:t>
      </w:r>
      <w:r w:rsidRPr="005000F9">
        <w:rPr>
          <w:rFonts w:ascii="Aptos" w:hAnsi="Aptos" w:cs="Arial"/>
          <w:iCs/>
          <w:sz w:val="24"/>
          <w:szCs w:val="24"/>
        </w:rPr>
        <w:t xml:space="preserve"> All</w:t>
      </w:r>
      <w:r w:rsidRPr="005000F9">
        <w:rPr>
          <w:rFonts w:ascii="Aptos" w:hAnsi="Aptos" w:cs="Arial"/>
          <w:sz w:val="24"/>
          <w:szCs w:val="24"/>
        </w:rPr>
        <w:t xml:space="preserve"> project proposals will need to demonstrate at </w:t>
      </w:r>
      <w:r w:rsidRPr="007127F0">
        <w:rPr>
          <w:rFonts w:ascii="Aptos" w:hAnsi="Aptos" w:cs="Arial"/>
          <w:sz w:val="24"/>
          <w:szCs w:val="24"/>
        </w:rPr>
        <w:t xml:space="preserve">least </w:t>
      </w:r>
      <w:r w:rsidR="007127F0" w:rsidRPr="007127F0">
        <w:rPr>
          <w:rFonts w:ascii="Aptos" w:hAnsi="Aptos" w:cs="Arial"/>
          <w:sz w:val="24"/>
          <w:szCs w:val="24"/>
        </w:rPr>
        <w:t>50</w:t>
      </w:r>
      <w:r w:rsidRPr="007127F0">
        <w:rPr>
          <w:rFonts w:ascii="Aptos" w:hAnsi="Aptos" w:cs="Arial"/>
          <w:sz w:val="24"/>
          <w:szCs w:val="24"/>
        </w:rPr>
        <w:t>% match funding</w:t>
      </w:r>
      <w:r w:rsidR="3FDB03E0" w:rsidRPr="2AC40A5F">
        <w:rPr>
          <w:rFonts w:ascii="Aptos" w:hAnsi="Aptos" w:cs="Arial"/>
          <w:sz w:val="24"/>
          <w:szCs w:val="24"/>
        </w:rPr>
        <w:t xml:space="preserve"> from the applicant</w:t>
      </w:r>
      <w:r w:rsidRPr="007127F0">
        <w:rPr>
          <w:rFonts w:ascii="Aptos" w:hAnsi="Aptos" w:cs="Arial"/>
          <w:sz w:val="24"/>
          <w:szCs w:val="24"/>
        </w:rPr>
        <w:t>,</w:t>
      </w:r>
      <w:r w:rsidRPr="005000F9">
        <w:rPr>
          <w:rFonts w:ascii="Aptos" w:hAnsi="Aptos" w:cs="Arial"/>
          <w:sz w:val="24"/>
          <w:szCs w:val="24"/>
        </w:rPr>
        <w:t xml:space="preserve"> although where a clear case can be made</w:t>
      </w:r>
      <w:r w:rsidR="007F72C3" w:rsidRPr="424FA1B9">
        <w:rPr>
          <w:rFonts w:ascii="Aptos" w:hAnsi="Aptos" w:cs="Arial"/>
          <w:sz w:val="24"/>
          <w:szCs w:val="24"/>
        </w:rPr>
        <w:t>,</w:t>
      </w:r>
      <w:r w:rsidRPr="005000F9">
        <w:rPr>
          <w:rFonts w:ascii="Aptos" w:hAnsi="Aptos" w:cs="Arial"/>
          <w:sz w:val="24"/>
          <w:szCs w:val="24"/>
        </w:rPr>
        <w:t xml:space="preserve"> other levels of match funding may be considered. </w:t>
      </w:r>
      <w:r w:rsidR="006774F0" w:rsidRPr="006774F0">
        <w:rPr>
          <w:rFonts w:ascii="Aptos" w:hAnsi="Aptos" w:cs="Arial"/>
          <w:sz w:val="24"/>
          <w:szCs w:val="24"/>
        </w:rPr>
        <w:t>We are expecting to fund 3-5 strategically scaled projects in the North East.</w:t>
      </w:r>
    </w:p>
    <w:p w14:paraId="33A4CB60" w14:textId="51D37D24" w:rsidR="2AC40A5F" w:rsidRDefault="2AC40A5F" w:rsidP="2AC40A5F">
      <w:pPr>
        <w:jc w:val="both"/>
        <w:rPr>
          <w:rFonts w:ascii="Aptos" w:hAnsi="Aptos" w:cs="Arial"/>
          <w:sz w:val="24"/>
          <w:szCs w:val="24"/>
        </w:rPr>
      </w:pPr>
    </w:p>
    <w:p w14:paraId="1AE48CED" w14:textId="34D33C94" w:rsidR="53124AE1" w:rsidRDefault="53124AE1" w:rsidP="2AC40A5F">
      <w:pPr>
        <w:jc w:val="both"/>
        <w:rPr>
          <w:rFonts w:ascii="Aptos" w:hAnsi="Aptos" w:cs="Arial"/>
          <w:color w:val="000000" w:themeColor="text1"/>
          <w:sz w:val="24"/>
          <w:szCs w:val="24"/>
        </w:rPr>
      </w:pPr>
      <w:r w:rsidRPr="2AC40A5F">
        <w:rPr>
          <w:rFonts w:ascii="Aptos" w:hAnsi="Aptos" w:cs="Arial"/>
          <w:color w:val="000000" w:themeColor="text1"/>
          <w:sz w:val="24"/>
          <w:szCs w:val="24"/>
        </w:rPr>
        <w:t xml:space="preserve">We particularly encourage project proposals to come forward which have secured funding from or align with the following investment opportunities programmes: </w:t>
      </w:r>
    </w:p>
    <w:p w14:paraId="2DD813EA" w14:textId="6DFAC87B" w:rsidR="2AC40A5F" w:rsidRDefault="2AC40A5F" w:rsidP="2AC40A5F">
      <w:pPr>
        <w:jc w:val="both"/>
        <w:rPr>
          <w:rFonts w:ascii="Aptos" w:hAnsi="Aptos" w:cs="Arial"/>
          <w:color w:val="000000" w:themeColor="text1"/>
          <w:sz w:val="24"/>
          <w:szCs w:val="24"/>
        </w:rPr>
      </w:pPr>
    </w:p>
    <w:p w14:paraId="65EF68B1" w14:textId="581BD4E0" w:rsidR="53124AE1" w:rsidRDefault="53124AE1" w:rsidP="2AC40A5F">
      <w:pPr>
        <w:numPr>
          <w:ilvl w:val="0"/>
          <w:numId w:val="10"/>
        </w:numPr>
        <w:jc w:val="both"/>
        <w:rPr>
          <w:rFonts w:ascii="Aptos" w:hAnsi="Aptos" w:cs="Arial"/>
          <w:color w:val="000000" w:themeColor="text1"/>
          <w:sz w:val="24"/>
          <w:szCs w:val="24"/>
        </w:rPr>
      </w:pPr>
      <w:r w:rsidRPr="2AC40A5F">
        <w:rPr>
          <w:rFonts w:ascii="Aptos" w:hAnsi="Aptos" w:cs="Arial"/>
          <w:color w:val="000000" w:themeColor="text1"/>
          <w:sz w:val="24"/>
          <w:szCs w:val="24"/>
        </w:rPr>
        <w:t>The Crown Estate’s Supply Chain Accelerator and Supply Chain Investment Programme.</w:t>
      </w:r>
    </w:p>
    <w:p w14:paraId="4618A833" w14:textId="4ED69667" w:rsidR="53124AE1" w:rsidRDefault="53124AE1" w:rsidP="2AC40A5F">
      <w:pPr>
        <w:numPr>
          <w:ilvl w:val="0"/>
          <w:numId w:val="10"/>
        </w:numPr>
        <w:jc w:val="both"/>
        <w:rPr>
          <w:rFonts w:ascii="Aptos" w:hAnsi="Aptos" w:cs="Arial"/>
          <w:color w:val="000000" w:themeColor="text1"/>
          <w:sz w:val="24"/>
          <w:szCs w:val="24"/>
        </w:rPr>
      </w:pPr>
      <w:r w:rsidRPr="2AC40A5F">
        <w:rPr>
          <w:rFonts w:ascii="Aptos" w:hAnsi="Aptos" w:cs="Arial"/>
          <w:color w:val="000000" w:themeColor="text1"/>
          <w:sz w:val="24"/>
          <w:szCs w:val="24"/>
        </w:rPr>
        <w:t>The National Wealth Fund</w:t>
      </w:r>
    </w:p>
    <w:p w14:paraId="4B8916F3" w14:textId="333846B3" w:rsidR="53124AE1" w:rsidRDefault="53124AE1" w:rsidP="2AC40A5F">
      <w:pPr>
        <w:numPr>
          <w:ilvl w:val="0"/>
          <w:numId w:val="10"/>
        </w:numPr>
        <w:jc w:val="both"/>
        <w:rPr>
          <w:rFonts w:ascii="Aptos" w:hAnsi="Aptos" w:cs="Arial"/>
          <w:color w:val="000000" w:themeColor="text1"/>
          <w:sz w:val="24"/>
          <w:szCs w:val="24"/>
        </w:rPr>
      </w:pPr>
      <w:r w:rsidRPr="2AC40A5F">
        <w:rPr>
          <w:rFonts w:ascii="Aptos" w:hAnsi="Aptos" w:cs="Arial"/>
          <w:color w:val="000000" w:themeColor="text1"/>
          <w:sz w:val="24"/>
          <w:szCs w:val="24"/>
        </w:rPr>
        <w:t>Great British Energy Supply Chain Fund: Offshore Wind and Networks</w:t>
      </w:r>
    </w:p>
    <w:p w14:paraId="1F9C431E" w14:textId="7CFD191A" w:rsidR="53124AE1" w:rsidRDefault="53124AE1" w:rsidP="2AC40A5F">
      <w:pPr>
        <w:numPr>
          <w:ilvl w:val="0"/>
          <w:numId w:val="10"/>
        </w:numPr>
        <w:jc w:val="both"/>
        <w:rPr>
          <w:rFonts w:ascii="Aptos" w:hAnsi="Aptos" w:cs="Arial"/>
          <w:color w:val="000000" w:themeColor="text1"/>
          <w:sz w:val="24"/>
          <w:szCs w:val="24"/>
        </w:rPr>
      </w:pPr>
      <w:r w:rsidRPr="2AC40A5F">
        <w:rPr>
          <w:rFonts w:ascii="Aptos" w:hAnsi="Aptos" w:cs="Arial"/>
          <w:color w:val="000000" w:themeColor="text1"/>
          <w:sz w:val="24"/>
          <w:szCs w:val="24"/>
        </w:rPr>
        <w:t>UK government funding opportunities</w:t>
      </w:r>
    </w:p>
    <w:p w14:paraId="4FBE4FF4" w14:textId="0DE1BACB" w:rsidR="2AC40A5F" w:rsidRDefault="2AC40A5F" w:rsidP="2AC40A5F">
      <w:pPr>
        <w:jc w:val="both"/>
        <w:rPr>
          <w:rFonts w:ascii="Aptos" w:hAnsi="Aptos" w:cs="Arial"/>
          <w:sz w:val="24"/>
          <w:szCs w:val="24"/>
        </w:rPr>
      </w:pPr>
    </w:p>
    <w:p w14:paraId="2DF515F4" w14:textId="77777777" w:rsidR="00972A01" w:rsidRDefault="00972A01" w:rsidP="005000F9">
      <w:pPr>
        <w:jc w:val="both"/>
        <w:rPr>
          <w:rFonts w:ascii="Aptos" w:hAnsi="Aptos" w:cs="Arial"/>
          <w:sz w:val="24"/>
          <w:szCs w:val="24"/>
        </w:rPr>
      </w:pPr>
    </w:p>
    <w:p w14:paraId="4F634AFB" w14:textId="2A4D86EC" w:rsidR="00972A01" w:rsidRPr="001A2037" w:rsidRDefault="00972A01" w:rsidP="005000F9">
      <w:pPr>
        <w:jc w:val="both"/>
        <w:rPr>
          <w:rFonts w:ascii="Aptos" w:hAnsi="Aptos" w:cs="Arial"/>
          <w:sz w:val="24"/>
          <w:szCs w:val="24"/>
        </w:rPr>
      </w:pPr>
      <w:r>
        <w:rPr>
          <w:rFonts w:ascii="Aptos" w:hAnsi="Aptos" w:cs="Arial"/>
          <w:sz w:val="24"/>
          <w:szCs w:val="24"/>
        </w:rPr>
        <w:t xml:space="preserve">Applicants </w:t>
      </w:r>
      <w:r w:rsidR="00465358">
        <w:rPr>
          <w:rFonts w:ascii="Aptos" w:hAnsi="Aptos" w:cs="Arial"/>
          <w:sz w:val="24"/>
          <w:szCs w:val="24"/>
        </w:rPr>
        <w:t xml:space="preserve">will be expected to fully complete </w:t>
      </w:r>
      <w:r w:rsidR="570135F0" w:rsidRPr="2AC40A5F">
        <w:rPr>
          <w:rFonts w:ascii="Aptos" w:hAnsi="Aptos" w:cs="Arial"/>
          <w:sz w:val="24"/>
          <w:szCs w:val="24"/>
        </w:rPr>
        <w:t xml:space="preserve">finance tables within </w:t>
      </w:r>
      <w:r w:rsidR="00465358">
        <w:rPr>
          <w:rFonts w:ascii="Aptos" w:hAnsi="Aptos" w:cs="Arial"/>
          <w:sz w:val="24"/>
          <w:szCs w:val="24"/>
        </w:rPr>
        <w:t xml:space="preserve">the </w:t>
      </w:r>
      <w:r w:rsidR="570135F0" w:rsidRPr="2AC40A5F">
        <w:rPr>
          <w:rFonts w:ascii="Aptos" w:hAnsi="Aptos" w:cs="Arial"/>
          <w:sz w:val="24"/>
          <w:szCs w:val="24"/>
        </w:rPr>
        <w:t>application form</w:t>
      </w:r>
      <w:r w:rsidR="001A2037" w:rsidRPr="2AC40A5F">
        <w:rPr>
          <w:rFonts w:ascii="Aptos" w:hAnsi="Aptos" w:cs="Arial"/>
          <w:sz w:val="24"/>
          <w:szCs w:val="24"/>
        </w:rPr>
        <w:t xml:space="preserve"> </w:t>
      </w:r>
      <w:r w:rsidR="001A2037" w:rsidRPr="00C44F9F">
        <w:rPr>
          <w:rFonts w:ascii="Aptos" w:hAnsi="Aptos" w:cs="Arial"/>
          <w:sz w:val="24"/>
          <w:szCs w:val="24"/>
        </w:rPr>
        <w:t xml:space="preserve">to show </w:t>
      </w:r>
      <w:r w:rsidR="007A5AA8">
        <w:rPr>
          <w:rFonts w:ascii="Aptos" w:hAnsi="Aptos" w:cs="Arial"/>
          <w:sz w:val="24"/>
          <w:szCs w:val="24"/>
        </w:rPr>
        <w:t xml:space="preserve">a working breakdown </w:t>
      </w:r>
      <w:r w:rsidR="00B245A3">
        <w:rPr>
          <w:rFonts w:ascii="Aptos" w:hAnsi="Aptos" w:cs="Arial"/>
          <w:sz w:val="24"/>
          <w:szCs w:val="24"/>
        </w:rPr>
        <w:t xml:space="preserve">of all </w:t>
      </w:r>
      <w:r w:rsidR="003F7DE7">
        <w:rPr>
          <w:rFonts w:ascii="Aptos" w:hAnsi="Aptos" w:cs="Arial"/>
          <w:sz w:val="24"/>
          <w:szCs w:val="24"/>
        </w:rPr>
        <w:t>anticipated project spend</w:t>
      </w:r>
      <w:r w:rsidR="00A65A0C">
        <w:rPr>
          <w:rFonts w:ascii="Aptos" w:hAnsi="Aptos" w:cs="Arial"/>
          <w:sz w:val="24"/>
          <w:szCs w:val="24"/>
        </w:rPr>
        <w:t xml:space="preserve">, including </w:t>
      </w:r>
      <w:r w:rsidR="00C05B5D">
        <w:rPr>
          <w:rFonts w:ascii="Aptos" w:hAnsi="Aptos" w:cs="Arial"/>
          <w:sz w:val="24"/>
          <w:szCs w:val="24"/>
        </w:rPr>
        <w:t>all anticipated match funding</w:t>
      </w:r>
      <w:r w:rsidR="00873E92">
        <w:rPr>
          <w:rFonts w:ascii="Aptos" w:hAnsi="Aptos" w:cs="Arial"/>
          <w:sz w:val="24"/>
          <w:szCs w:val="24"/>
        </w:rPr>
        <w:t>.</w:t>
      </w:r>
    </w:p>
    <w:p w14:paraId="6096C501" w14:textId="77777777" w:rsidR="005000F9" w:rsidRPr="005000F9" w:rsidRDefault="005000F9" w:rsidP="005000F9">
      <w:pPr>
        <w:rPr>
          <w:rFonts w:ascii="Aptos" w:hAnsi="Aptos" w:cs="Arial"/>
          <w:sz w:val="24"/>
          <w:szCs w:val="24"/>
        </w:rPr>
      </w:pPr>
    </w:p>
    <w:p w14:paraId="1310AAAE" w14:textId="77777777" w:rsidR="005000F9" w:rsidRPr="005000F9" w:rsidRDefault="005000F9" w:rsidP="005000F9">
      <w:pPr>
        <w:rPr>
          <w:rFonts w:ascii="Aptos" w:hAnsi="Aptos" w:cs="Arial"/>
          <w:sz w:val="24"/>
          <w:szCs w:val="24"/>
        </w:rPr>
      </w:pPr>
      <w:r w:rsidRPr="005000F9">
        <w:rPr>
          <w:rFonts w:ascii="Aptos" w:hAnsi="Aptos" w:cs="Arial"/>
          <w:sz w:val="24"/>
          <w:szCs w:val="24"/>
        </w:rPr>
        <w:t>All applicants must be legally constituted at the point of submitting a project proposal.  Project proposals must relate to project activity in the North East.</w:t>
      </w:r>
    </w:p>
    <w:p w14:paraId="4964DB13" w14:textId="77777777" w:rsidR="005000F9" w:rsidRPr="005000F9" w:rsidRDefault="005000F9" w:rsidP="00D67AD0">
      <w:pPr>
        <w:jc w:val="both"/>
        <w:rPr>
          <w:rFonts w:ascii="Aptos" w:hAnsi="Aptos" w:cs="Arial"/>
          <w:sz w:val="24"/>
          <w:szCs w:val="24"/>
        </w:rPr>
      </w:pPr>
    </w:p>
    <w:p w14:paraId="3D353A8C" w14:textId="77777777" w:rsidR="005000F9" w:rsidRPr="005000F9" w:rsidRDefault="005000F9" w:rsidP="005000F9">
      <w:pPr>
        <w:pStyle w:val="ListParagraph"/>
        <w:numPr>
          <w:ilvl w:val="0"/>
          <w:numId w:val="4"/>
        </w:numPr>
        <w:jc w:val="both"/>
        <w:rPr>
          <w:rFonts w:ascii="Aptos" w:hAnsi="Aptos"/>
          <w:b/>
          <w:bCs/>
          <w:sz w:val="24"/>
          <w:szCs w:val="24"/>
        </w:rPr>
      </w:pPr>
      <w:r w:rsidRPr="005000F9">
        <w:rPr>
          <w:rFonts w:ascii="Aptos" w:hAnsi="Aptos"/>
          <w:b/>
          <w:bCs/>
          <w:sz w:val="24"/>
          <w:szCs w:val="24"/>
        </w:rPr>
        <w:t>Selection Criteria</w:t>
      </w:r>
    </w:p>
    <w:p w14:paraId="3E13F41C" w14:textId="77777777" w:rsidR="005000F9" w:rsidRPr="005000F9" w:rsidRDefault="005000F9" w:rsidP="005000F9">
      <w:pPr>
        <w:jc w:val="both"/>
        <w:rPr>
          <w:rFonts w:ascii="Aptos" w:hAnsi="Aptos" w:cs="Arial"/>
          <w:sz w:val="24"/>
          <w:szCs w:val="24"/>
        </w:rPr>
      </w:pPr>
      <w:r w:rsidRPr="005000F9">
        <w:rPr>
          <w:rFonts w:ascii="Aptos" w:hAnsi="Aptos" w:cs="Arial"/>
          <w:sz w:val="24"/>
          <w:szCs w:val="24"/>
        </w:rPr>
        <w:t>Project proposals will be scored specifically against the following criteria:</w:t>
      </w:r>
    </w:p>
    <w:tbl>
      <w:tblPr>
        <w:tblStyle w:val="TableGrid"/>
        <w:tblW w:w="9879" w:type="dxa"/>
        <w:tblInd w:w="-714" w:type="dxa"/>
        <w:tblLook w:val="04A0" w:firstRow="1" w:lastRow="0" w:firstColumn="1" w:lastColumn="0" w:noHBand="0" w:noVBand="1"/>
      </w:tblPr>
      <w:tblGrid>
        <w:gridCol w:w="1442"/>
        <w:gridCol w:w="1452"/>
        <w:gridCol w:w="1101"/>
        <w:gridCol w:w="1217"/>
        <w:gridCol w:w="1217"/>
        <w:gridCol w:w="1423"/>
        <w:gridCol w:w="1395"/>
        <w:gridCol w:w="632"/>
      </w:tblGrid>
      <w:tr w:rsidR="008B76F7" w:rsidRPr="00FD2E75" w14:paraId="7E8FE0D8" w14:textId="77777777" w:rsidTr="29A98F4A">
        <w:tc>
          <w:tcPr>
            <w:tcW w:w="9879" w:type="dxa"/>
            <w:gridSpan w:val="8"/>
            <w:shd w:val="clear" w:color="auto" w:fill="D9D9D9" w:themeFill="background1" w:themeFillShade="D9"/>
          </w:tcPr>
          <w:p w14:paraId="1E88BB8D" w14:textId="77777777" w:rsidR="005000F9" w:rsidRPr="00FD2E75" w:rsidRDefault="005000F9">
            <w:pPr>
              <w:jc w:val="both"/>
              <w:rPr>
                <w:rFonts w:ascii="Aptos" w:hAnsi="Aptos" w:cs="Arial"/>
                <w:b/>
              </w:rPr>
            </w:pPr>
            <w:r w:rsidRPr="00FD2E75">
              <w:rPr>
                <w:rFonts w:ascii="Aptos" w:hAnsi="Aptos" w:cs="Arial"/>
                <w:b/>
              </w:rPr>
              <w:t>Assessment of Project</w:t>
            </w:r>
          </w:p>
        </w:tc>
      </w:tr>
      <w:tr w:rsidR="00557ACB" w:rsidRPr="00FD2E75" w14:paraId="23964D3E" w14:textId="77777777" w:rsidTr="29A98F4A">
        <w:tc>
          <w:tcPr>
            <w:tcW w:w="1442" w:type="dxa"/>
            <w:vMerge w:val="restart"/>
            <w:shd w:val="clear" w:color="auto" w:fill="D9D9D9" w:themeFill="background1" w:themeFillShade="D9"/>
          </w:tcPr>
          <w:p w14:paraId="70B1A964" w14:textId="77777777" w:rsidR="005000F9" w:rsidRPr="00FD2E75" w:rsidRDefault="005000F9">
            <w:pPr>
              <w:rPr>
                <w:rFonts w:ascii="Aptos" w:hAnsi="Aptos" w:cs="Arial"/>
                <w:b/>
              </w:rPr>
            </w:pPr>
            <w:r w:rsidRPr="00FD2E75">
              <w:rPr>
                <w:rFonts w:ascii="Aptos" w:hAnsi="Aptos" w:cs="Arial"/>
                <w:b/>
              </w:rPr>
              <w:t>Strategic fit with North East CA Local Growth Plan</w:t>
            </w:r>
          </w:p>
        </w:tc>
        <w:tc>
          <w:tcPr>
            <w:tcW w:w="1452" w:type="dxa"/>
            <w:shd w:val="clear" w:color="auto" w:fill="538135" w:themeFill="accent6" w:themeFillShade="BF"/>
          </w:tcPr>
          <w:p w14:paraId="6ABC42F5" w14:textId="1BF6C2D9" w:rsidR="005000F9" w:rsidRPr="00FD2E75" w:rsidRDefault="00511F4D">
            <w:pPr>
              <w:rPr>
                <w:rFonts w:ascii="Aptos" w:hAnsi="Aptos" w:cs="Arial"/>
              </w:rPr>
            </w:pPr>
            <w:r>
              <w:rPr>
                <w:rFonts w:ascii="Aptos" w:hAnsi="Aptos" w:cs="Arial"/>
              </w:rPr>
              <w:t>16 - 20</w:t>
            </w:r>
          </w:p>
        </w:tc>
        <w:tc>
          <w:tcPr>
            <w:tcW w:w="1101" w:type="dxa"/>
            <w:tcBorders>
              <w:bottom w:val="nil"/>
            </w:tcBorders>
            <w:shd w:val="clear" w:color="auto" w:fill="A8D08D" w:themeFill="accent6" w:themeFillTint="99"/>
          </w:tcPr>
          <w:p w14:paraId="5361A4EB" w14:textId="77777777" w:rsidR="005000F9" w:rsidRPr="00FD2E75" w:rsidRDefault="005000F9">
            <w:pPr>
              <w:rPr>
                <w:rFonts w:ascii="Aptos" w:hAnsi="Aptos" w:cs="Arial"/>
              </w:rPr>
            </w:pPr>
          </w:p>
        </w:tc>
        <w:tc>
          <w:tcPr>
            <w:tcW w:w="1217" w:type="dxa"/>
            <w:shd w:val="clear" w:color="auto" w:fill="E2EFD9" w:themeFill="accent6" w:themeFillTint="33"/>
          </w:tcPr>
          <w:p w14:paraId="6400A522" w14:textId="4C45829D" w:rsidR="005000F9" w:rsidRPr="00FD2E75" w:rsidRDefault="00511F4D">
            <w:pPr>
              <w:rPr>
                <w:rFonts w:ascii="Aptos" w:hAnsi="Aptos" w:cs="Arial"/>
              </w:rPr>
            </w:pPr>
            <w:r>
              <w:rPr>
                <w:rFonts w:ascii="Aptos" w:hAnsi="Aptos" w:cs="Arial"/>
              </w:rPr>
              <w:t>11-15</w:t>
            </w:r>
          </w:p>
        </w:tc>
        <w:tc>
          <w:tcPr>
            <w:tcW w:w="1217" w:type="dxa"/>
            <w:shd w:val="clear" w:color="auto" w:fill="FFE599" w:themeFill="accent4" w:themeFillTint="66"/>
          </w:tcPr>
          <w:p w14:paraId="07CBFA6C" w14:textId="67E91F87" w:rsidR="005000F9" w:rsidRPr="00FD2E75" w:rsidRDefault="005000F9">
            <w:pPr>
              <w:rPr>
                <w:rFonts w:ascii="Aptos" w:hAnsi="Aptos" w:cs="Arial"/>
              </w:rPr>
            </w:pPr>
          </w:p>
        </w:tc>
        <w:tc>
          <w:tcPr>
            <w:tcW w:w="1423" w:type="dxa"/>
            <w:shd w:val="clear" w:color="auto" w:fill="FFC000" w:themeFill="accent4"/>
          </w:tcPr>
          <w:p w14:paraId="3752B862" w14:textId="71F06084" w:rsidR="005000F9" w:rsidRPr="00FD2E75" w:rsidRDefault="006A3264">
            <w:pPr>
              <w:rPr>
                <w:rFonts w:ascii="Aptos" w:hAnsi="Aptos" w:cs="Arial"/>
              </w:rPr>
            </w:pPr>
            <w:r>
              <w:rPr>
                <w:rFonts w:ascii="Aptos" w:hAnsi="Aptos" w:cs="Arial"/>
              </w:rPr>
              <w:t>1 - 10</w:t>
            </w:r>
          </w:p>
        </w:tc>
        <w:tc>
          <w:tcPr>
            <w:tcW w:w="1395" w:type="dxa"/>
            <w:shd w:val="clear" w:color="auto" w:fill="FF0000"/>
          </w:tcPr>
          <w:p w14:paraId="7B785573" w14:textId="77777777" w:rsidR="005000F9" w:rsidRPr="00FD2E75" w:rsidRDefault="005000F9">
            <w:pPr>
              <w:rPr>
                <w:rFonts w:ascii="Aptos" w:hAnsi="Aptos" w:cs="Arial"/>
              </w:rPr>
            </w:pPr>
            <w:r w:rsidRPr="00FD2E75">
              <w:rPr>
                <w:rFonts w:ascii="Aptos" w:hAnsi="Aptos" w:cs="Arial"/>
              </w:rPr>
              <w:t>0</w:t>
            </w:r>
          </w:p>
        </w:tc>
        <w:tc>
          <w:tcPr>
            <w:tcW w:w="632" w:type="dxa"/>
            <w:vMerge w:val="restart"/>
          </w:tcPr>
          <w:p w14:paraId="5273126A" w14:textId="78F548F1" w:rsidR="005000F9" w:rsidRPr="00FD2E75" w:rsidRDefault="00A66FC9">
            <w:pPr>
              <w:rPr>
                <w:rFonts w:ascii="Aptos" w:hAnsi="Aptos" w:cs="Arial"/>
              </w:rPr>
            </w:pPr>
            <w:r w:rsidRPr="00FD2E75">
              <w:rPr>
                <w:rFonts w:ascii="Aptos" w:hAnsi="Aptos" w:cs="Arial"/>
              </w:rPr>
              <w:t>20</w:t>
            </w:r>
          </w:p>
        </w:tc>
      </w:tr>
      <w:tr w:rsidR="00557ACB" w:rsidRPr="00FD2E75" w14:paraId="44D401DF" w14:textId="77777777" w:rsidTr="29A98F4A">
        <w:tc>
          <w:tcPr>
            <w:tcW w:w="1442" w:type="dxa"/>
            <w:vMerge/>
          </w:tcPr>
          <w:p w14:paraId="581E0A1B" w14:textId="77777777" w:rsidR="00F7292E" w:rsidRPr="00FD2E75" w:rsidRDefault="00F7292E">
            <w:pPr>
              <w:rPr>
                <w:rFonts w:ascii="Aptos" w:hAnsi="Aptos" w:cs="Arial"/>
                <w:b/>
              </w:rPr>
            </w:pPr>
          </w:p>
        </w:tc>
        <w:tc>
          <w:tcPr>
            <w:tcW w:w="2553" w:type="dxa"/>
            <w:gridSpan w:val="2"/>
          </w:tcPr>
          <w:p w14:paraId="45D9F5FE" w14:textId="32038A3C" w:rsidR="00F7292E" w:rsidRPr="00FD2E75" w:rsidRDefault="00F7292E">
            <w:pPr>
              <w:rPr>
                <w:rFonts w:ascii="Aptos" w:hAnsi="Aptos" w:cs="Arial"/>
              </w:rPr>
            </w:pPr>
            <w:r w:rsidRPr="00FD2E75">
              <w:rPr>
                <w:rFonts w:ascii="Aptos" w:hAnsi="Aptos" w:cs="Arial"/>
              </w:rPr>
              <w:t xml:space="preserve">Very strong fit </w:t>
            </w:r>
          </w:p>
        </w:tc>
        <w:tc>
          <w:tcPr>
            <w:tcW w:w="1217" w:type="dxa"/>
          </w:tcPr>
          <w:p w14:paraId="55BEF24E" w14:textId="77777777" w:rsidR="00F7292E" w:rsidRPr="00FD2E75" w:rsidRDefault="00F7292E">
            <w:pPr>
              <w:rPr>
                <w:rFonts w:ascii="Aptos" w:hAnsi="Aptos" w:cs="Arial"/>
              </w:rPr>
            </w:pPr>
            <w:r w:rsidRPr="00FD2E75">
              <w:rPr>
                <w:rFonts w:ascii="Aptos" w:hAnsi="Aptos" w:cs="Arial"/>
              </w:rPr>
              <w:t xml:space="preserve">Moderate fit </w:t>
            </w:r>
          </w:p>
        </w:tc>
        <w:tc>
          <w:tcPr>
            <w:tcW w:w="2640" w:type="dxa"/>
            <w:gridSpan w:val="2"/>
          </w:tcPr>
          <w:p w14:paraId="725A4525" w14:textId="52C76644" w:rsidR="00F7292E" w:rsidRPr="00FD2E75" w:rsidRDefault="001018C0" w:rsidP="001018C0">
            <w:pPr>
              <w:ind w:left="1064"/>
              <w:rPr>
                <w:rFonts w:ascii="Aptos" w:hAnsi="Aptos" w:cs="Arial"/>
              </w:rPr>
            </w:pPr>
            <w:r>
              <w:rPr>
                <w:rFonts w:ascii="Aptos" w:hAnsi="Aptos" w:cs="Arial"/>
              </w:rPr>
              <w:t xml:space="preserve">  </w:t>
            </w:r>
            <w:r w:rsidR="00F7292E" w:rsidRPr="00FD2E75">
              <w:rPr>
                <w:rFonts w:ascii="Aptos" w:hAnsi="Aptos" w:cs="Arial"/>
              </w:rPr>
              <w:t>Low</w:t>
            </w:r>
            <w:r w:rsidR="00364800">
              <w:rPr>
                <w:rFonts w:ascii="Aptos" w:hAnsi="Aptos" w:cs="Arial"/>
              </w:rPr>
              <w:t xml:space="preserve"> - </w:t>
            </w:r>
            <w:r w:rsidR="00CF247C">
              <w:rPr>
                <w:rFonts w:ascii="Aptos" w:hAnsi="Aptos" w:cs="Arial"/>
              </w:rPr>
              <w:t>poor</w:t>
            </w:r>
            <w:r w:rsidR="00F7292E" w:rsidRPr="00FD2E75">
              <w:rPr>
                <w:rFonts w:ascii="Aptos" w:hAnsi="Aptos" w:cs="Arial"/>
              </w:rPr>
              <w:t xml:space="preserve"> fit</w:t>
            </w:r>
          </w:p>
        </w:tc>
        <w:tc>
          <w:tcPr>
            <w:tcW w:w="1395" w:type="dxa"/>
          </w:tcPr>
          <w:p w14:paraId="0C1B8EA3" w14:textId="77777777" w:rsidR="00F7292E" w:rsidRPr="00FD2E75" w:rsidRDefault="00F7292E">
            <w:pPr>
              <w:rPr>
                <w:rFonts w:ascii="Aptos" w:hAnsi="Aptos" w:cs="Arial"/>
              </w:rPr>
            </w:pPr>
            <w:r w:rsidRPr="00FD2E75">
              <w:rPr>
                <w:rFonts w:ascii="Aptos" w:hAnsi="Aptos" w:cs="Arial"/>
              </w:rPr>
              <w:t xml:space="preserve">No fit </w:t>
            </w:r>
          </w:p>
        </w:tc>
        <w:tc>
          <w:tcPr>
            <w:tcW w:w="632" w:type="dxa"/>
            <w:vMerge/>
          </w:tcPr>
          <w:p w14:paraId="183BAFCD" w14:textId="77777777" w:rsidR="00F7292E" w:rsidRPr="00FD2E75" w:rsidRDefault="00F7292E">
            <w:pPr>
              <w:rPr>
                <w:rFonts w:ascii="Aptos" w:hAnsi="Aptos" w:cs="Arial"/>
              </w:rPr>
            </w:pPr>
          </w:p>
        </w:tc>
      </w:tr>
      <w:tr w:rsidR="00557ACB" w:rsidRPr="00FD2E75" w14:paraId="65321FBD" w14:textId="77777777" w:rsidTr="29A98F4A">
        <w:tc>
          <w:tcPr>
            <w:tcW w:w="1442" w:type="dxa"/>
            <w:vMerge w:val="restart"/>
            <w:shd w:val="clear" w:color="auto" w:fill="D9D9D9" w:themeFill="background1" w:themeFillShade="D9"/>
          </w:tcPr>
          <w:p w14:paraId="14589CE9" w14:textId="34753FB1" w:rsidR="005000F9" w:rsidRPr="00FD2E75" w:rsidRDefault="00F66FA2">
            <w:pPr>
              <w:rPr>
                <w:rFonts w:ascii="Aptos" w:hAnsi="Aptos" w:cs="Arial"/>
                <w:b/>
              </w:rPr>
            </w:pPr>
            <w:r>
              <w:rPr>
                <w:rFonts w:ascii="Aptos" w:hAnsi="Aptos" w:cs="Arial"/>
                <w:b/>
              </w:rPr>
              <w:t xml:space="preserve">Number of jobs created </w:t>
            </w:r>
            <w:r w:rsidR="00EC5B99">
              <w:rPr>
                <w:rFonts w:ascii="Aptos" w:hAnsi="Aptos" w:cs="Arial"/>
                <w:b/>
              </w:rPr>
              <w:t xml:space="preserve">and economic growth unlocked </w:t>
            </w:r>
            <w:r w:rsidR="00AE4327">
              <w:rPr>
                <w:rFonts w:ascii="Aptos" w:hAnsi="Aptos" w:cs="Arial"/>
                <w:b/>
              </w:rPr>
              <w:t>(</w:t>
            </w:r>
            <w:r w:rsidR="00981089">
              <w:rPr>
                <w:rFonts w:ascii="Aptos" w:hAnsi="Aptos" w:cs="Arial"/>
                <w:b/>
              </w:rPr>
              <w:t xml:space="preserve">including potential </w:t>
            </w:r>
            <w:r w:rsidR="002220E0">
              <w:rPr>
                <w:rFonts w:ascii="Aptos" w:hAnsi="Aptos" w:cs="Arial"/>
                <w:b/>
              </w:rPr>
              <w:t xml:space="preserve">future </w:t>
            </w:r>
            <w:r w:rsidR="003557C1">
              <w:rPr>
                <w:rFonts w:ascii="Aptos" w:hAnsi="Aptos" w:cs="Arial"/>
                <w:b/>
              </w:rPr>
              <w:t>investment leverage</w:t>
            </w:r>
            <w:r w:rsidR="00AE4327">
              <w:rPr>
                <w:rFonts w:ascii="Aptos" w:hAnsi="Aptos" w:cs="Arial"/>
                <w:b/>
              </w:rPr>
              <w:t>)</w:t>
            </w:r>
          </w:p>
        </w:tc>
        <w:tc>
          <w:tcPr>
            <w:tcW w:w="1452" w:type="dxa"/>
            <w:shd w:val="clear" w:color="auto" w:fill="538135" w:themeFill="accent6" w:themeFillShade="BF"/>
          </w:tcPr>
          <w:p w14:paraId="26884268" w14:textId="77777777" w:rsidR="005000F9" w:rsidRPr="00FD2E75" w:rsidRDefault="005000F9">
            <w:pPr>
              <w:rPr>
                <w:rFonts w:ascii="Aptos" w:hAnsi="Aptos" w:cs="Arial"/>
              </w:rPr>
            </w:pPr>
            <w:r w:rsidRPr="00FD2E75">
              <w:rPr>
                <w:rFonts w:ascii="Aptos" w:hAnsi="Aptos" w:cs="Arial"/>
              </w:rPr>
              <w:t>9-10</w:t>
            </w:r>
          </w:p>
        </w:tc>
        <w:tc>
          <w:tcPr>
            <w:tcW w:w="1101" w:type="dxa"/>
            <w:shd w:val="clear" w:color="auto" w:fill="A8D08D" w:themeFill="accent6" w:themeFillTint="99"/>
          </w:tcPr>
          <w:p w14:paraId="54684641" w14:textId="77777777" w:rsidR="005000F9" w:rsidRPr="00FD2E75" w:rsidRDefault="005000F9">
            <w:pPr>
              <w:rPr>
                <w:rFonts w:ascii="Aptos" w:hAnsi="Aptos" w:cs="Arial"/>
              </w:rPr>
            </w:pPr>
          </w:p>
        </w:tc>
        <w:tc>
          <w:tcPr>
            <w:tcW w:w="1217" w:type="dxa"/>
            <w:shd w:val="clear" w:color="auto" w:fill="E2EFD9" w:themeFill="accent6" w:themeFillTint="33"/>
          </w:tcPr>
          <w:p w14:paraId="3F5C077A" w14:textId="77777777" w:rsidR="005000F9" w:rsidRPr="00FD2E75" w:rsidRDefault="005000F9">
            <w:pPr>
              <w:rPr>
                <w:rFonts w:ascii="Aptos" w:hAnsi="Aptos" w:cs="Arial"/>
              </w:rPr>
            </w:pPr>
            <w:r w:rsidRPr="00FD2E75">
              <w:rPr>
                <w:rFonts w:ascii="Aptos" w:hAnsi="Aptos" w:cs="Arial"/>
              </w:rPr>
              <w:t>5-6</w:t>
            </w:r>
          </w:p>
        </w:tc>
        <w:tc>
          <w:tcPr>
            <w:tcW w:w="1217" w:type="dxa"/>
            <w:shd w:val="clear" w:color="auto" w:fill="FFE599" w:themeFill="accent4" w:themeFillTint="66"/>
          </w:tcPr>
          <w:p w14:paraId="4897A152" w14:textId="77777777" w:rsidR="005000F9" w:rsidRPr="00FD2E75" w:rsidRDefault="005000F9">
            <w:pPr>
              <w:rPr>
                <w:rFonts w:ascii="Aptos" w:hAnsi="Aptos" w:cs="Arial"/>
              </w:rPr>
            </w:pPr>
            <w:r w:rsidRPr="00FD2E75">
              <w:rPr>
                <w:rFonts w:ascii="Aptos" w:hAnsi="Aptos" w:cs="Arial"/>
              </w:rPr>
              <w:t>3-4</w:t>
            </w:r>
          </w:p>
        </w:tc>
        <w:tc>
          <w:tcPr>
            <w:tcW w:w="1423" w:type="dxa"/>
            <w:shd w:val="clear" w:color="auto" w:fill="FFC000" w:themeFill="accent4"/>
          </w:tcPr>
          <w:p w14:paraId="7C14A3FF" w14:textId="77777777" w:rsidR="005000F9" w:rsidRPr="00FD2E75" w:rsidRDefault="005000F9">
            <w:pPr>
              <w:rPr>
                <w:rFonts w:ascii="Aptos" w:hAnsi="Aptos" w:cs="Arial"/>
              </w:rPr>
            </w:pPr>
            <w:r w:rsidRPr="00FD2E75">
              <w:rPr>
                <w:rFonts w:ascii="Aptos" w:hAnsi="Aptos" w:cs="Arial"/>
              </w:rPr>
              <w:t>1-2</w:t>
            </w:r>
          </w:p>
        </w:tc>
        <w:tc>
          <w:tcPr>
            <w:tcW w:w="1395" w:type="dxa"/>
            <w:shd w:val="clear" w:color="auto" w:fill="FF0000"/>
          </w:tcPr>
          <w:p w14:paraId="3EE46C57" w14:textId="77777777" w:rsidR="005000F9" w:rsidRPr="00FD2E75" w:rsidRDefault="005000F9">
            <w:pPr>
              <w:rPr>
                <w:rFonts w:ascii="Aptos" w:hAnsi="Aptos" w:cs="Arial"/>
              </w:rPr>
            </w:pPr>
            <w:r w:rsidRPr="00FD2E75">
              <w:rPr>
                <w:rFonts w:ascii="Aptos" w:hAnsi="Aptos" w:cs="Arial"/>
              </w:rPr>
              <w:t>0</w:t>
            </w:r>
          </w:p>
        </w:tc>
        <w:tc>
          <w:tcPr>
            <w:tcW w:w="632" w:type="dxa"/>
            <w:vMerge w:val="restart"/>
          </w:tcPr>
          <w:p w14:paraId="5C1D2570" w14:textId="77777777" w:rsidR="005000F9" w:rsidRPr="00FD2E75" w:rsidRDefault="005000F9">
            <w:pPr>
              <w:rPr>
                <w:rFonts w:ascii="Aptos" w:hAnsi="Aptos" w:cs="Arial"/>
              </w:rPr>
            </w:pPr>
            <w:r w:rsidRPr="00FD2E75">
              <w:rPr>
                <w:rFonts w:ascii="Aptos" w:hAnsi="Aptos" w:cs="Arial"/>
              </w:rPr>
              <w:t>10</w:t>
            </w:r>
          </w:p>
        </w:tc>
      </w:tr>
      <w:tr w:rsidR="00FE1EFF" w:rsidRPr="00FD2E75" w14:paraId="31FE9FEB" w14:textId="77777777" w:rsidTr="29A98F4A">
        <w:tc>
          <w:tcPr>
            <w:tcW w:w="1442" w:type="dxa"/>
            <w:vMerge/>
          </w:tcPr>
          <w:p w14:paraId="4EF87EA2" w14:textId="77777777" w:rsidR="005000F9" w:rsidRPr="00FD2E75" w:rsidRDefault="005000F9">
            <w:pPr>
              <w:rPr>
                <w:rFonts w:ascii="Aptos" w:hAnsi="Aptos" w:cs="Arial"/>
                <w:b/>
              </w:rPr>
            </w:pPr>
          </w:p>
        </w:tc>
        <w:tc>
          <w:tcPr>
            <w:tcW w:w="1452" w:type="dxa"/>
          </w:tcPr>
          <w:p w14:paraId="2E1EF90D" w14:textId="77777777" w:rsidR="005000F9" w:rsidRPr="00FD2E75" w:rsidRDefault="005000F9">
            <w:pPr>
              <w:rPr>
                <w:rFonts w:ascii="Aptos" w:hAnsi="Aptos" w:cs="Arial"/>
              </w:rPr>
            </w:pPr>
            <w:r w:rsidRPr="00FD2E75">
              <w:rPr>
                <w:rFonts w:ascii="Aptos" w:hAnsi="Aptos" w:cs="Arial"/>
              </w:rPr>
              <w:t>Demonstrates clear/relevant outcomes and potentially very good value for money</w:t>
            </w:r>
          </w:p>
        </w:tc>
        <w:tc>
          <w:tcPr>
            <w:tcW w:w="1101" w:type="dxa"/>
          </w:tcPr>
          <w:p w14:paraId="75452649" w14:textId="77777777" w:rsidR="005000F9" w:rsidRPr="00FD2E75" w:rsidRDefault="005000F9">
            <w:pPr>
              <w:rPr>
                <w:rFonts w:ascii="Aptos" w:hAnsi="Aptos" w:cs="Arial"/>
              </w:rPr>
            </w:pPr>
          </w:p>
        </w:tc>
        <w:tc>
          <w:tcPr>
            <w:tcW w:w="1217" w:type="dxa"/>
          </w:tcPr>
          <w:p w14:paraId="78DAB20E" w14:textId="77777777" w:rsidR="005000F9" w:rsidRPr="00FD2E75" w:rsidRDefault="005000F9">
            <w:pPr>
              <w:rPr>
                <w:rFonts w:ascii="Aptos" w:hAnsi="Aptos" w:cs="Arial"/>
              </w:rPr>
            </w:pPr>
            <w:r w:rsidRPr="00FD2E75">
              <w:rPr>
                <w:rFonts w:ascii="Aptos" w:hAnsi="Aptos" w:cs="Arial"/>
              </w:rPr>
              <w:t xml:space="preserve">Likely to provide some outcomes and represent reasonable value for money </w:t>
            </w:r>
          </w:p>
        </w:tc>
        <w:tc>
          <w:tcPr>
            <w:tcW w:w="1217" w:type="dxa"/>
          </w:tcPr>
          <w:p w14:paraId="78EDC6E2" w14:textId="77777777" w:rsidR="005000F9" w:rsidRPr="00FD2E75" w:rsidRDefault="005000F9">
            <w:pPr>
              <w:rPr>
                <w:rFonts w:ascii="Aptos" w:hAnsi="Aptos" w:cs="Arial"/>
              </w:rPr>
            </w:pPr>
          </w:p>
        </w:tc>
        <w:tc>
          <w:tcPr>
            <w:tcW w:w="1423" w:type="dxa"/>
          </w:tcPr>
          <w:p w14:paraId="54F3B96C" w14:textId="77777777" w:rsidR="005000F9" w:rsidRPr="00FD2E75" w:rsidRDefault="005000F9">
            <w:pPr>
              <w:rPr>
                <w:rFonts w:ascii="Aptos" w:hAnsi="Aptos" w:cs="Arial"/>
              </w:rPr>
            </w:pPr>
            <w:r w:rsidRPr="00FD2E75">
              <w:rPr>
                <w:rFonts w:ascii="Aptos" w:hAnsi="Aptos" w:cs="Arial"/>
              </w:rPr>
              <w:t>Likely to provide limited outcomes and less favourable value for money</w:t>
            </w:r>
          </w:p>
        </w:tc>
        <w:tc>
          <w:tcPr>
            <w:tcW w:w="1395" w:type="dxa"/>
          </w:tcPr>
          <w:p w14:paraId="251D3EAD" w14:textId="77777777" w:rsidR="005000F9" w:rsidRPr="00FD2E75" w:rsidRDefault="005000F9">
            <w:pPr>
              <w:rPr>
                <w:rFonts w:ascii="Aptos" w:hAnsi="Aptos" w:cs="Arial"/>
              </w:rPr>
            </w:pPr>
            <w:r w:rsidRPr="00FD2E75">
              <w:rPr>
                <w:rFonts w:ascii="Aptos" w:hAnsi="Aptos" w:cs="Arial"/>
              </w:rPr>
              <w:t>Unlikely to meet any of defined outcomes or offer value for money</w:t>
            </w:r>
          </w:p>
        </w:tc>
        <w:tc>
          <w:tcPr>
            <w:tcW w:w="632" w:type="dxa"/>
            <w:vMerge/>
          </w:tcPr>
          <w:p w14:paraId="6DFA2F89" w14:textId="77777777" w:rsidR="005000F9" w:rsidRPr="00FD2E75" w:rsidRDefault="005000F9">
            <w:pPr>
              <w:rPr>
                <w:rFonts w:ascii="Aptos" w:hAnsi="Aptos" w:cs="Arial"/>
              </w:rPr>
            </w:pPr>
          </w:p>
        </w:tc>
      </w:tr>
      <w:tr w:rsidR="00557ACB" w:rsidRPr="00FD2E75" w14:paraId="3754B857" w14:textId="77777777" w:rsidTr="29A98F4A">
        <w:tc>
          <w:tcPr>
            <w:tcW w:w="1442" w:type="dxa"/>
            <w:vMerge w:val="restart"/>
            <w:shd w:val="clear" w:color="auto" w:fill="D9D9D9" w:themeFill="background1" w:themeFillShade="D9"/>
          </w:tcPr>
          <w:p w14:paraId="1049CBAC" w14:textId="4CAF01DC" w:rsidR="005000F9" w:rsidRPr="00FD2E75" w:rsidRDefault="005000F9">
            <w:pPr>
              <w:rPr>
                <w:rFonts w:ascii="Aptos" w:hAnsi="Aptos" w:cs="Arial"/>
                <w:b/>
              </w:rPr>
            </w:pPr>
            <w:r w:rsidRPr="00FD2E75">
              <w:rPr>
                <w:rFonts w:ascii="Aptos" w:hAnsi="Aptos" w:cs="Arial"/>
                <w:b/>
              </w:rPr>
              <w:t>Intensity of grant request</w:t>
            </w:r>
          </w:p>
        </w:tc>
        <w:tc>
          <w:tcPr>
            <w:tcW w:w="1452" w:type="dxa"/>
            <w:shd w:val="clear" w:color="auto" w:fill="538135" w:themeFill="accent6" w:themeFillShade="BF"/>
          </w:tcPr>
          <w:p w14:paraId="7A173C07" w14:textId="70E73D25" w:rsidR="005000F9" w:rsidRPr="00FD2E75" w:rsidRDefault="005000F9">
            <w:pPr>
              <w:rPr>
                <w:rFonts w:ascii="Aptos" w:hAnsi="Aptos" w:cs="Arial"/>
              </w:rPr>
            </w:pPr>
            <w:r w:rsidRPr="00FD2E75">
              <w:rPr>
                <w:rFonts w:ascii="Aptos" w:hAnsi="Aptos" w:cs="Arial"/>
              </w:rPr>
              <w:t>5</w:t>
            </w:r>
          </w:p>
        </w:tc>
        <w:tc>
          <w:tcPr>
            <w:tcW w:w="1101" w:type="dxa"/>
            <w:shd w:val="clear" w:color="auto" w:fill="A8D08D" w:themeFill="accent6" w:themeFillTint="99"/>
          </w:tcPr>
          <w:p w14:paraId="6866E1BC" w14:textId="7221A7AE" w:rsidR="005000F9" w:rsidRPr="00FD2E75" w:rsidRDefault="005000F9">
            <w:pPr>
              <w:rPr>
                <w:rFonts w:ascii="Aptos" w:hAnsi="Aptos" w:cs="Arial"/>
              </w:rPr>
            </w:pPr>
            <w:r w:rsidRPr="00FD2E75">
              <w:rPr>
                <w:rFonts w:ascii="Aptos" w:hAnsi="Aptos" w:cs="Arial"/>
              </w:rPr>
              <w:t>4</w:t>
            </w:r>
          </w:p>
        </w:tc>
        <w:tc>
          <w:tcPr>
            <w:tcW w:w="1217" w:type="dxa"/>
            <w:shd w:val="clear" w:color="auto" w:fill="E2EFD9" w:themeFill="accent6" w:themeFillTint="33"/>
          </w:tcPr>
          <w:p w14:paraId="4DEED99D" w14:textId="102AA624" w:rsidR="005000F9" w:rsidRPr="00FD2E75" w:rsidRDefault="005000F9">
            <w:pPr>
              <w:rPr>
                <w:rFonts w:ascii="Aptos" w:hAnsi="Aptos" w:cs="Arial"/>
              </w:rPr>
            </w:pPr>
            <w:r w:rsidRPr="00FD2E75">
              <w:rPr>
                <w:rFonts w:ascii="Aptos" w:hAnsi="Aptos" w:cs="Arial"/>
              </w:rPr>
              <w:t>3</w:t>
            </w:r>
          </w:p>
        </w:tc>
        <w:tc>
          <w:tcPr>
            <w:tcW w:w="1217" w:type="dxa"/>
            <w:shd w:val="clear" w:color="auto" w:fill="FFE599" w:themeFill="accent4" w:themeFillTint="66"/>
          </w:tcPr>
          <w:p w14:paraId="5F1F4096" w14:textId="4F346428" w:rsidR="005000F9" w:rsidRPr="00FD2E75" w:rsidRDefault="005000F9">
            <w:pPr>
              <w:rPr>
                <w:rFonts w:ascii="Aptos" w:hAnsi="Aptos" w:cs="Arial"/>
              </w:rPr>
            </w:pPr>
            <w:r w:rsidRPr="00FD2E75">
              <w:rPr>
                <w:rFonts w:ascii="Aptos" w:hAnsi="Aptos" w:cs="Arial"/>
              </w:rPr>
              <w:t>2</w:t>
            </w:r>
          </w:p>
        </w:tc>
        <w:tc>
          <w:tcPr>
            <w:tcW w:w="1423" w:type="dxa"/>
            <w:shd w:val="clear" w:color="auto" w:fill="FFC000" w:themeFill="accent4"/>
          </w:tcPr>
          <w:p w14:paraId="4CFDB18E" w14:textId="27F32B66" w:rsidR="005000F9" w:rsidRPr="00FD2E75" w:rsidRDefault="005000F9">
            <w:pPr>
              <w:rPr>
                <w:rFonts w:ascii="Aptos" w:hAnsi="Aptos" w:cs="Arial"/>
              </w:rPr>
            </w:pPr>
            <w:r w:rsidRPr="00FD2E75">
              <w:rPr>
                <w:rFonts w:ascii="Aptos" w:hAnsi="Aptos" w:cs="Arial"/>
              </w:rPr>
              <w:t>1</w:t>
            </w:r>
          </w:p>
        </w:tc>
        <w:tc>
          <w:tcPr>
            <w:tcW w:w="1395" w:type="dxa"/>
            <w:shd w:val="clear" w:color="auto" w:fill="000000" w:themeFill="text1"/>
          </w:tcPr>
          <w:p w14:paraId="3B91601D" w14:textId="77777777" w:rsidR="005000F9" w:rsidRPr="00FD2E75" w:rsidRDefault="005000F9">
            <w:pPr>
              <w:rPr>
                <w:rFonts w:ascii="Aptos" w:hAnsi="Aptos" w:cs="Arial"/>
              </w:rPr>
            </w:pPr>
          </w:p>
        </w:tc>
        <w:tc>
          <w:tcPr>
            <w:tcW w:w="632" w:type="dxa"/>
            <w:vMerge w:val="restart"/>
          </w:tcPr>
          <w:p w14:paraId="532115F8" w14:textId="77777777" w:rsidR="005000F9" w:rsidRPr="00FD2E75" w:rsidRDefault="005000F9">
            <w:pPr>
              <w:rPr>
                <w:rFonts w:ascii="Aptos" w:hAnsi="Aptos" w:cs="Arial"/>
              </w:rPr>
            </w:pPr>
            <w:r w:rsidRPr="00FD2E75">
              <w:rPr>
                <w:rFonts w:ascii="Aptos" w:hAnsi="Aptos" w:cs="Arial"/>
              </w:rPr>
              <w:t>5</w:t>
            </w:r>
          </w:p>
        </w:tc>
      </w:tr>
      <w:tr w:rsidR="00557ACB" w:rsidRPr="00FD2E75" w14:paraId="5A3752C0" w14:textId="77777777" w:rsidTr="29A98F4A">
        <w:tc>
          <w:tcPr>
            <w:tcW w:w="1442" w:type="dxa"/>
            <w:vMerge/>
          </w:tcPr>
          <w:p w14:paraId="4830B500" w14:textId="77777777" w:rsidR="005000F9" w:rsidRPr="00FD2E75" w:rsidRDefault="005000F9">
            <w:pPr>
              <w:rPr>
                <w:rFonts w:ascii="Aptos" w:hAnsi="Aptos" w:cs="Arial"/>
                <w:b/>
              </w:rPr>
            </w:pPr>
          </w:p>
        </w:tc>
        <w:tc>
          <w:tcPr>
            <w:tcW w:w="1452" w:type="dxa"/>
          </w:tcPr>
          <w:p w14:paraId="0F9CA136" w14:textId="77777777" w:rsidR="005000F9" w:rsidRPr="00FD2E75" w:rsidRDefault="005000F9">
            <w:pPr>
              <w:rPr>
                <w:rFonts w:ascii="Aptos" w:hAnsi="Aptos" w:cs="Arial"/>
              </w:rPr>
            </w:pPr>
            <w:r w:rsidRPr="00FD2E75">
              <w:rPr>
                <w:rFonts w:ascii="Aptos" w:hAnsi="Aptos" w:cs="Arial"/>
              </w:rPr>
              <w:t>10%</w:t>
            </w:r>
          </w:p>
          <w:p w14:paraId="06E150CA" w14:textId="77777777" w:rsidR="005000F9" w:rsidRPr="00FD2E75" w:rsidRDefault="005000F9">
            <w:pPr>
              <w:rPr>
                <w:rFonts w:ascii="Aptos" w:hAnsi="Aptos" w:cs="Arial"/>
              </w:rPr>
            </w:pPr>
          </w:p>
        </w:tc>
        <w:tc>
          <w:tcPr>
            <w:tcW w:w="1101" w:type="dxa"/>
          </w:tcPr>
          <w:p w14:paraId="0CE50364" w14:textId="77777777" w:rsidR="005000F9" w:rsidRPr="00FD2E75" w:rsidRDefault="005000F9">
            <w:pPr>
              <w:rPr>
                <w:rFonts w:ascii="Aptos" w:hAnsi="Aptos" w:cs="Arial"/>
              </w:rPr>
            </w:pPr>
            <w:r w:rsidRPr="00FD2E75">
              <w:rPr>
                <w:rFonts w:ascii="Aptos" w:hAnsi="Aptos" w:cs="Arial"/>
              </w:rPr>
              <w:t>20%</w:t>
            </w:r>
          </w:p>
        </w:tc>
        <w:tc>
          <w:tcPr>
            <w:tcW w:w="1217" w:type="dxa"/>
          </w:tcPr>
          <w:p w14:paraId="48BFDB09" w14:textId="77777777" w:rsidR="005000F9" w:rsidRPr="00FD2E75" w:rsidRDefault="005000F9">
            <w:pPr>
              <w:rPr>
                <w:rFonts w:ascii="Aptos" w:hAnsi="Aptos" w:cs="Arial"/>
              </w:rPr>
            </w:pPr>
            <w:r w:rsidRPr="00FD2E75">
              <w:rPr>
                <w:rFonts w:ascii="Aptos" w:hAnsi="Aptos" w:cs="Arial"/>
              </w:rPr>
              <w:t>30%</w:t>
            </w:r>
          </w:p>
        </w:tc>
        <w:tc>
          <w:tcPr>
            <w:tcW w:w="1217" w:type="dxa"/>
          </w:tcPr>
          <w:p w14:paraId="0342BB98" w14:textId="77777777" w:rsidR="005000F9" w:rsidRPr="00FD2E75" w:rsidRDefault="005000F9">
            <w:pPr>
              <w:rPr>
                <w:rFonts w:ascii="Aptos" w:hAnsi="Aptos" w:cs="Arial"/>
              </w:rPr>
            </w:pPr>
            <w:r w:rsidRPr="00FD2E75">
              <w:rPr>
                <w:rFonts w:ascii="Aptos" w:hAnsi="Aptos" w:cs="Arial"/>
              </w:rPr>
              <w:t>40%</w:t>
            </w:r>
          </w:p>
        </w:tc>
        <w:tc>
          <w:tcPr>
            <w:tcW w:w="1423" w:type="dxa"/>
          </w:tcPr>
          <w:p w14:paraId="32236919" w14:textId="77777777" w:rsidR="005000F9" w:rsidRPr="00FD2E75" w:rsidRDefault="005000F9">
            <w:pPr>
              <w:rPr>
                <w:rFonts w:ascii="Aptos" w:hAnsi="Aptos" w:cs="Arial"/>
              </w:rPr>
            </w:pPr>
            <w:r w:rsidRPr="00FD2E75">
              <w:rPr>
                <w:rFonts w:ascii="Aptos" w:hAnsi="Aptos" w:cs="Arial"/>
              </w:rPr>
              <w:t>50%</w:t>
            </w:r>
          </w:p>
        </w:tc>
        <w:tc>
          <w:tcPr>
            <w:tcW w:w="1395" w:type="dxa"/>
            <w:shd w:val="clear" w:color="auto" w:fill="000000" w:themeFill="text1"/>
          </w:tcPr>
          <w:p w14:paraId="1383A460" w14:textId="77777777" w:rsidR="005000F9" w:rsidRPr="00FD2E75" w:rsidRDefault="005000F9">
            <w:pPr>
              <w:rPr>
                <w:rFonts w:ascii="Aptos" w:hAnsi="Aptos" w:cs="Arial"/>
              </w:rPr>
            </w:pPr>
          </w:p>
        </w:tc>
        <w:tc>
          <w:tcPr>
            <w:tcW w:w="632" w:type="dxa"/>
            <w:vMerge/>
          </w:tcPr>
          <w:p w14:paraId="3C45BB83" w14:textId="77777777" w:rsidR="005000F9" w:rsidRPr="00FD2E75" w:rsidRDefault="005000F9">
            <w:pPr>
              <w:rPr>
                <w:rFonts w:ascii="Aptos" w:hAnsi="Aptos" w:cs="Arial"/>
              </w:rPr>
            </w:pPr>
          </w:p>
        </w:tc>
      </w:tr>
      <w:tr w:rsidR="00557ACB" w:rsidRPr="00FD2E75" w14:paraId="308EA00D" w14:textId="77777777" w:rsidTr="29A98F4A">
        <w:tc>
          <w:tcPr>
            <w:tcW w:w="1442" w:type="dxa"/>
            <w:vMerge w:val="restart"/>
            <w:shd w:val="clear" w:color="auto" w:fill="D9D9D9" w:themeFill="background1" w:themeFillShade="D9"/>
          </w:tcPr>
          <w:p w14:paraId="176E7881" w14:textId="77777777" w:rsidR="005000F9" w:rsidRPr="00FD2E75" w:rsidRDefault="005000F9">
            <w:pPr>
              <w:rPr>
                <w:rFonts w:ascii="Aptos" w:hAnsi="Aptos" w:cs="Arial"/>
                <w:b/>
              </w:rPr>
            </w:pPr>
            <w:r w:rsidRPr="00FD2E75">
              <w:rPr>
                <w:rFonts w:ascii="Aptos" w:hAnsi="Aptos" w:cs="Arial"/>
                <w:b/>
              </w:rPr>
              <w:t xml:space="preserve">Status of the match funding </w:t>
            </w:r>
          </w:p>
        </w:tc>
        <w:tc>
          <w:tcPr>
            <w:tcW w:w="1452" w:type="dxa"/>
            <w:shd w:val="clear" w:color="auto" w:fill="538135" w:themeFill="accent6" w:themeFillShade="BF"/>
          </w:tcPr>
          <w:p w14:paraId="04119DCC" w14:textId="77777777" w:rsidR="005000F9" w:rsidRPr="00FD2E75" w:rsidRDefault="005000F9">
            <w:pPr>
              <w:rPr>
                <w:rFonts w:ascii="Aptos" w:hAnsi="Aptos" w:cs="Arial"/>
              </w:rPr>
            </w:pPr>
            <w:r w:rsidRPr="00FD2E75">
              <w:rPr>
                <w:rFonts w:ascii="Aptos" w:hAnsi="Aptos" w:cs="Arial"/>
              </w:rPr>
              <w:t>5</w:t>
            </w:r>
          </w:p>
        </w:tc>
        <w:tc>
          <w:tcPr>
            <w:tcW w:w="1101" w:type="dxa"/>
            <w:shd w:val="clear" w:color="auto" w:fill="A8D08D" w:themeFill="accent6" w:themeFillTint="99"/>
          </w:tcPr>
          <w:p w14:paraId="32DF3FAD" w14:textId="77777777" w:rsidR="005000F9" w:rsidRPr="00FD2E75" w:rsidRDefault="005000F9">
            <w:pPr>
              <w:rPr>
                <w:rFonts w:ascii="Aptos" w:hAnsi="Aptos" w:cs="Arial"/>
              </w:rPr>
            </w:pPr>
          </w:p>
        </w:tc>
        <w:tc>
          <w:tcPr>
            <w:tcW w:w="1217" w:type="dxa"/>
            <w:shd w:val="clear" w:color="auto" w:fill="E2EFD9" w:themeFill="accent6" w:themeFillTint="33"/>
          </w:tcPr>
          <w:p w14:paraId="399A9BE7" w14:textId="77777777" w:rsidR="005000F9" w:rsidRPr="00FD2E75" w:rsidRDefault="005000F9">
            <w:pPr>
              <w:rPr>
                <w:rFonts w:ascii="Aptos" w:hAnsi="Aptos" w:cs="Arial"/>
              </w:rPr>
            </w:pPr>
            <w:r w:rsidRPr="00FD2E75">
              <w:rPr>
                <w:rFonts w:ascii="Aptos" w:hAnsi="Aptos" w:cs="Arial"/>
              </w:rPr>
              <w:t>3</w:t>
            </w:r>
          </w:p>
        </w:tc>
        <w:tc>
          <w:tcPr>
            <w:tcW w:w="1217" w:type="dxa"/>
            <w:shd w:val="clear" w:color="auto" w:fill="FFE599" w:themeFill="accent4" w:themeFillTint="66"/>
          </w:tcPr>
          <w:p w14:paraId="7B5BAE67" w14:textId="77777777" w:rsidR="005000F9" w:rsidRPr="00FD2E75" w:rsidRDefault="005000F9">
            <w:pPr>
              <w:rPr>
                <w:rFonts w:ascii="Aptos" w:hAnsi="Aptos" w:cs="Arial"/>
              </w:rPr>
            </w:pPr>
          </w:p>
        </w:tc>
        <w:tc>
          <w:tcPr>
            <w:tcW w:w="1423" w:type="dxa"/>
            <w:shd w:val="clear" w:color="auto" w:fill="FFC000" w:themeFill="accent4"/>
          </w:tcPr>
          <w:p w14:paraId="073E9C2F" w14:textId="77777777" w:rsidR="005000F9" w:rsidRPr="00FD2E75" w:rsidRDefault="005000F9">
            <w:pPr>
              <w:rPr>
                <w:rFonts w:ascii="Aptos" w:hAnsi="Aptos" w:cs="Arial"/>
              </w:rPr>
            </w:pPr>
            <w:r w:rsidRPr="00FD2E75">
              <w:rPr>
                <w:rFonts w:ascii="Aptos" w:hAnsi="Aptos" w:cs="Arial"/>
              </w:rPr>
              <w:t>1</w:t>
            </w:r>
          </w:p>
        </w:tc>
        <w:tc>
          <w:tcPr>
            <w:tcW w:w="1395" w:type="dxa"/>
            <w:shd w:val="clear" w:color="auto" w:fill="FF0000"/>
          </w:tcPr>
          <w:p w14:paraId="07FA66CF" w14:textId="77777777" w:rsidR="005000F9" w:rsidRPr="00FD2E75" w:rsidRDefault="005000F9">
            <w:pPr>
              <w:rPr>
                <w:rFonts w:ascii="Aptos" w:hAnsi="Aptos" w:cs="Arial"/>
              </w:rPr>
            </w:pPr>
            <w:r w:rsidRPr="00FD2E75">
              <w:rPr>
                <w:rFonts w:ascii="Aptos" w:hAnsi="Aptos" w:cs="Arial"/>
              </w:rPr>
              <w:t>0</w:t>
            </w:r>
          </w:p>
        </w:tc>
        <w:tc>
          <w:tcPr>
            <w:tcW w:w="632" w:type="dxa"/>
            <w:vMerge w:val="restart"/>
          </w:tcPr>
          <w:p w14:paraId="2C46BB5D" w14:textId="56D840F7" w:rsidR="005000F9" w:rsidRPr="00FD2E75" w:rsidRDefault="00E67000">
            <w:pPr>
              <w:rPr>
                <w:rFonts w:ascii="Aptos" w:hAnsi="Aptos" w:cs="Arial"/>
              </w:rPr>
            </w:pPr>
            <w:r>
              <w:rPr>
                <w:rFonts w:ascii="Aptos" w:hAnsi="Aptos" w:cs="Arial"/>
              </w:rPr>
              <w:t>5</w:t>
            </w:r>
          </w:p>
        </w:tc>
      </w:tr>
      <w:tr w:rsidR="00FE1EFF" w:rsidRPr="00FD2E75" w14:paraId="24F5E8C2" w14:textId="77777777" w:rsidTr="29A98F4A">
        <w:tc>
          <w:tcPr>
            <w:tcW w:w="1442" w:type="dxa"/>
            <w:vMerge/>
          </w:tcPr>
          <w:p w14:paraId="6A9ECE37" w14:textId="77777777" w:rsidR="005000F9" w:rsidRPr="00FD2E75" w:rsidRDefault="005000F9">
            <w:pPr>
              <w:rPr>
                <w:rFonts w:ascii="Aptos" w:hAnsi="Aptos" w:cs="Arial"/>
                <w:b/>
              </w:rPr>
            </w:pPr>
          </w:p>
        </w:tc>
        <w:tc>
          <w:tcPr>
            <w:tcW w:w="1452" w:type="dxa"/>
          </w:tcPr>
          <w:p w14:paraId="6959F65C" w14:textId="77777777" w:rsidR="005000F9" w:rsidRPr="00FD2E75" w:rsidRDefault="005000F9">
            <w:pPr>
              <w:rPr>
                <w:rFonts w:ascii="Aptos" w:hAnsi="Aptos" w:cs="Arial"/>
              </w:rPr>
            </w:pPr>
            <w:r w:rsidRPr="00FD2E75">
              <w:rPr>
                <w:rFonts w:ascii="Aptos" w:hAnsi="Aptos" w:cs="Arial"/>
              </w:rPr>
              <w:t xml:space="preserve">Fully confirmed </w:t>
            </w:r>
          </w:p>
        </w:tc>
        <w:tc>
          <w:tcPr>
            <w:tcW w:w="1101" w:type="dxa"/>
          </w:tcPr>
          <w:p w14:paraId="3B4D1438" w14:textId="77777777" w:rsidR="005000F9" w:rsidRPr="00FD2E75" w:rsidRDefault="005000F9">
            <w:pPr>
              <w:rPr>
                <w:rFonts w:ascii="Aptos" w:hAnsi="Aptos" w:cs="Arial"/>
              </w:rPr>
            </w:pPr>
          </w:p>
        </w:tc>
        <w:tc>
          <w:tcPr>
            <w:tcW w:w="1217" w:type="dxa"/>
          </w:tcPr>
          <w:p w14:paraId="170D784C" w14:textId="77777777" w:rsidR="005000F9" w:rsidRPr="00FD2E75" w:rsidRDefault="005000F9">
            <w:pPr>
              <w:rPr>
                <w:rFonts w:ascii="Aptos" w:hAnsi="Aptos" w:cs="Arial"/>
              </w:rPr>
            </w:pPr>
            <w:r w:rsidRPr="00FD2E75">
              <w:rPr>
                <w:rFonts w:ascii="Aptos" w:hAnsi="Aptos" w:cs="Arial"/>
              </w:rPr>
              <w:t>Most match funding in place</w:t>
            </w:r>
          </w:p>
        </w:tc>
        <w:tc>
          <w:tcPr>
            <w:tcW w:w="1217" w:type="dxa"/>
          </w:tcPr>
          <w:p w14:paraId="7ACCA7D0" w14:textId="77777777" w:rsidR="005000F9" w:rsidRPr="00FD2E75" w:rsidRDefault="005000F9">
            <w:pPr>
              <w:rPr>
                <w:rFonts w:ascii="Aptos" w:hAnsi="Aptos" w:cs="Arial"/>
              </w:rPr>
            </w:pPr>
          </w:p>
        </w:tc>
        <w:tc>
          <w:tcPr>
            <w:tcW w:w="1423" w:type="dxa"/>
          </w:tcPr>
          <w:p w14:paraId="184EDD36" w14:textId="77777777" w:rsidR="005000F9" w:rsidRPr="00FD2E75" w:rsidRDefault="005000F9">
            <w:pPr>
              <w:rPr>
                <w:rFonts w:ascii="Aptos" w:hAnsi="Aptos" w:cs="Arial"/>
              </w:rPr>
            </w:pPr>
            <w:r w:rsidRPr="00FD2E75">
              <w:rPr>
                <w:rFonts w:ascii="Aptos" w:hAnsi="Aptos" w:cs="Arial"/>
              </w:rPr>
              <w:t>Little match funding in place</w:t>
            </w:r>
          </w:p>
        </w:tc>
        <w:tc>
          <w:tcPr>
            <w:tcW w:w="1395" w:type="dxa"/>
          </w:tcPr>
          <w:p w14:paraId="248923D4" w14:textId="77777777" w:rsidR="005000F9" w:rsidRPr="00FD2E75" w:rsidRDefault="005000F9">
            <w:pPr>
              <w:rPr>
                <w:rFonts w:ascii="Aptos" w:hAnsi="Aptos" w:cs="Arial"/>
              </w:rPr>
            </w:pPr>
            <w:r w:rsidRPr="00FD2E75">
              <w:rPr>
                <w:rFonts w:ascii="Aptos" w:hAnsi="Aptos" w:cs="Arial"/>
              </w:rPr>
              <w:t xml:space="preserve">No source of match funding identified </w:t>
            </w:r>
          </w:p>
        </w:tc>
        <w:tc>
          <w:tcPr>
            <w:tcW w:w="632" w:type="dxa"/>
            <w:vMerge/>
          </w:tcPr>
          <w:p w14:paraId="3C30533C" w14:textId="77777777" w:rsidR="005000F9" w:rsidRPr="00FD2E75" w:rsidRDefault="005000F9">
            <w:pPr>
              <w:rPr>
                <w:rFonts w:ascii="Aptos" w:hAnsi="Aptos" w:cs="Arial"/>
              </w:rPr>
            </w:pPr>
          </w:p>
        </w:tc>
      </w:tr>
      <w:tr w:rsidR="00557ACB" w:rsidRPr="00FD2E75" w14:paraId="1F9BEEB0" w14:textId="77777777" w:rsidTr="29A98F4A">
        <w:tc>
          <w:tcPr>
            <w:tcW w:w="1442" w:type="dxa"/>
            <w:vMerge w:val="restart"/>
            <w:shd w:val="clear" w:color="auto" w:fill="D9D9D9" w:themeFill="background1" w:themeFillShade="D9"/>
          </w:tcPr>
          <w:p w14:paraId="08EF2AA7" w14:textId="0E4F1A82" w:rsidR="005000F9" w:rsidRPr="00FD2E75" w:rsidRDefault="00DA146F">
            <w:pPr>
              <w:rPr>
                <w:rFonts w:ascii="Aptos" w:hAnsi="Aptos" w:cs="Arial"/>
                <w:b/>
              </w:rPr>
            </w:pPr>
            <w:r>
              <w:rPr>
                <w:rFonts w:ascii="Aptos" w:hAnsi="Aptos" w:cs="Arial"/>
                <w:b/>
              </w:rPr>
              <w:t xml:space="preserve">Subsidy </w:t>
            </w:r>
            <w:r w:rsidR="00B74E25">
              <w:rPr>
                <w:rFonts w:ascii="Aptos" w:hAnsi="Aptos" w:cs="Arial"/>
                <w:b/>
              </w:rPr>
              <w:t xml:space="preserve">control </w:t>
            </w:r>
            <w:r w:rsidR="005000F9" w:rsidRPr="00FD2E75">
              <w:rPr>
                <w:rFonts w:ascii="Aptos" w:hAnsi="Aptos" w:cs="Arial"/>
                <w:b/>
              </w:rPr>
              <w:t>risk</w:t>
            </w:r>
          </w:p>
        </w:tc>
        <w:tc>
          <w:tcPr>
            <w:tcW w:w="1452" w:type="dxa"/>
            <w:shd w:val="clear" w:color="auto" w:fill="538135" w:themeFill="accent6" w:themeFillShade="BF"/>
          </w:tcPr>
          <w:p w14:paraId="5A4409C8" w14:textId="77777777" w:rsidR="005000F9" w:rsidRPr="00FD2E75" w:rsidRDefault="005000F9">
            <w:pPr>
              <w:rPr>
                <w:rFonts w:ascii="Aptos" w:hAnsi="Aptos" w:cs="Arial"/>
              </w:rPr>
            </w:pPr>
            <w:r w:rsidRPr="00FD2E75">
              <w:rPr>
                <w:rFonts w:ascii="Aptos" w:hAnsi="Aptos" w:cs="Arial"/>
              </w:rPr>
              <w:t>5</w:t>
            </w:r>
          </w:p>
        </w:tc>
        <w:tc>
          <w:tcPr>
            <w:tcW w:w="1101" w:type="dxa"/>
            <w:shd w:val="clear" w:color="auto" w:fill="A8D08D" w:themeFill="accent6" w:themeFillTint="99"/>
          </w:tcPr>
          <w:p w14:paraId="7F381193" w14:textId="77777777" w:rsidR="005000F9" w:rsidRPr="00FD2E75" w:rsidRDefault="005000F9">
            <w:pPr>
              <w:rPr>
                <w:rFonts w:ascii="Aptos" w:hAnsi="Aptos" w:cs="Arial"/>
              </w:rPr>
            </w:pPr>
            <w:r w:rsidRPr="00FD2E75">
              <w:rPr>
                <w:rFonts w:ascii="Aptos" w:hAnsi="Aptos" w:cs="Arial"/>
              </w:rPr>
              <w:t>4</w:t>
            </w:r>
          </w:p>
        </w:tc>
        <w:tc>
          <w:tcPr>
            <w:tcW w:w="1217" w:type="dxa"/>
            <w:shd w:val="clear" w:color="auto" w:fill="E2EFD9" w:themeFill="accent6" w:themeFillTint="33"/>
          </w:tcPr>
          <w:p w14:paraId="25071F07" w14:textId="77777777" w:rsidR="005000F9" w:rsidRPr="00FD2E75" w:rsidRDefault="005000F9">
            <w:pPr>
              <w:rPr>
                <w:rFonts w:ascii="Aptos" w:hAnsi="Aptos" w:cs="Arial"/>
              </w:rPr>
            </w:pPr>
            <w:r w:rsidRPr="00FD2E75">
              <w:rPr>
                <w:rFonts w:ascii="Aptos" w:hAnsi="Aptos" w:cs="Arial"/>
              </w:rPr>
              <w:t>3</w:t>
            </w:r>
          </w:p>
        </w:tc>
        <w:tc>
          <w:tcPr>
            <w:tcW w:w="1217" w:type="dxa"/>
            <w:shd w:val="clear" w:color="auto" w:fill="FFE599" w:themeFill="accent4" w:themeFillTint="66"/>
          </w:tcPr>
          <w:p w14:paraId="1D3E154E" w14:textId="77777777" w:rsidR="005000F9" w:rsidRPr="00FD2E75" w:rsidRDefault="005000F9">
            <w:pPr>
              <w:rPr>
                <w:rFonts w:ascii="Aptos" w:hAnsi="Aptos" w:cs="Arial"/>
              </w:rPr>
            </w:pPr>
            <w:r w:rsidRPr="00FD2E75">
              <w:rPr>
                <w:rFonts w:ascii="Aptos" w:hAnsi="Aptos" w:cs="Arial"/>
              </w:rPr>
              <w:t>2</w:t>
            </w:r>
          </w:p>
        </w:tc>
        <w:tc>
          <w:tcPr>
            <w:tcW w:w="1423" w:type="dxa"/>
            <w:shd w:val="clear" w:color="auto" w:fill="FFC000" w:themeFill="accent4"/>
          </w:tcPr>
          <w:p w14:paraId="71C408EE" w14:textId="77777777" w:rsidR="005000F9" w:rsidRPr="00FD2E75" w:rsidRDefault="005000F9">
            <w:pPr>
              <w:rPr>
                <w:rFonts w:ascii="Aptos" w:hAnsi="Aptos" w:cs="Arial"/>
              </w:rPr>
            </w:pPr>
            <w:r w:rsidRPr="00FD2E75">
              <w:rPr>
                <w:rFonts w:ascii="Aptos" w:hAnsi="Aptos" w:cs="Arial"/>
              </w:rPr>
              <w:t>1</w:t>
            </w:r>
          </w:p>
        </w:tc>
        <w:tc>
          <w:tcPr>
            <w:tcW w:w="1395" w:type="dxa"/>
            <w:shd w:val="clear" w:color="auto" w:fill="FF0000"/>
          </w:tcPr>
          <w:p w14:paraId="08978A20" w14:textId="77777777" w:rsidR="005000F9" w:rsidRPr="00FD2E75" w:rsidRDefault="005000F9">
            <w:pPr>
              <w:rPr>
                <w:rFonts w:ascii="Aptos" w:hAnsi="Aptos" w:cs="Arial"/>
              </w:rPr>
            </w:pPr>
            <w:r w:rsidRPr="00FD2E75">
              <w:rPr>
                <w:rFonts w:ascii="Aptos" w:hAnsi="Aptos" w:cs="Arial"/>
              </w:rPr>
              <w:t>0</w:t>
            </w:r>
          </w:p>
        </w:tc>
        <w:tc>
          <w:tcPr>
            <w:tcW w:w="632" w:type="dxa"/>
            <w:vMerge w:val="restart"/>
          </w:tcPr>
          <w:p w14:paraId="389AA440" w14:textId="77777777" w:rsidR="005000F9" w:rsidRPr="00FD2E75" w:rsidRDefault="005000F9">
            <w:pPr>
              <w:rPr>
                <w:rFonts w:ascii="Aptos" w:hAnsi="Aptos" w:cs="Arial"/>
              </w:rPr>
            </w:pPr>
            <w:r w:rsidRPr="00FD2E75">
              <w:rPr>
                <w:rFonts w:ascii="Aptos" w:hAnsi="Aptos" w:cs="Arial"/>
              </w:rPr>
              <w:t>5</w:t>
            </w:r>
          </w:p>
        </w:tc>
      </w:tr>
      <w:tr w:rsidR="00FE1EFF" w:rsidRPr="00FD2E75" w14:paraId="63647A8A" w14:textId="77777777" w:rsidTr="29A98F4A">
        <w:tc>
          <w:tcPr>
            <w:tcW w:w="1442" w:type="dxa"/>
            <w:vMerge/>
          </w:tcPr>
          <w:p w14:paraId="3C209BB2" w14:textId="77777777" w:rsidR="005000F9" w:rsidRPr="00FD2E75" w:rsidRDefault="005000F9">
            <w:pPr>
              <w:rPr>
                <w:rFonts w:ascii="Aptos" w:hAnsi="Aptos" w:cs="Arial"/>
                <w:b/>
              </w:rPr>
            </w:pPr>
          </w:p>
        </w:tc>
        <w:tc>
          <w:tcPr>
            <w:tcW w:w="1452" w:type="dxa"/>
          </w:tcPr>
          <w:p w14:paraId="4A01D9A0" w14:textId="40B842F8" w:rsidR="005000F9" w:rsidRPr="00FD2E75" w:rsidRDefault="005000F9">
            <w:pPr>
              <w:rPr>
                <w:rFonts w:ascii="Aptos" w:hAnsi="Aptos" w:cs="Arial"/>
              </w:rPr>
            </w:pPr>
            <w:r w:rsidRPr="00FD2E75">
              <w:rPr>
                <w:rFonts w:ascii="Aptos" w:hAnsi="Aptos" w:cs="Arial"/>
              </w:rPr>
              <w:t xml:space="preserve">Independent legal opinion supports compliant route or confirm no </w:t>
            </w:r>
            <w:r w:rsidR="00EC5B99">
              <w:rPr>
                <w:rFonts w:ascii="Aptos" w:hAnsi="Aptos" w:cs="Arial"/>
              </w:rPr>
              <w:t xml:space="preserve">risk. </w:t>
            </w:r>
          </w:p>
        </w:tc>
        <w:tc>
          <w:tcPr>
            <w:tcW w:w="1101" w:type="dxa"/>
          </w:tcPr>
          <w:p w14:paraId="4406A06C" w14:textId="77EDF4B7" w:rsidR="005000F9" w:rsidRPr="00FD2E75" w:rsidRDefault="005000F9">
            <w:pPr>
              <w:rPr>
                <w:rFonts w:ascii="Aptos" w:hAnsi="Aptos" w:cs="Arial"/>
              </w:rPr>
            </w:pPr>
            <w:r w:rsidRPr="00FD2E75">
              <w:rPr>
                <w:rFonts w:ascii="Aptos" w:hAnsi="Aptos" w:cs="Arial"/>
              </w:rPr>
              <w:t>Applicant identifies a compliant route.</w:t>
            </w:r>
          </w:p>
        </w:tc>
        <w:tc>
          <w:tcPr>
            <w:tcW w:w="1217" w:type="dxa"/>
          </w:tcPr>
          <w:p w14:paraId="4D452C25" w14:textId="1346A2E4" w:rsidR="005000F9" w:rsidRPr="00FD2E75" w:rsidRDefault="005000F9">
            <w:pPr>
              <w:rPr>
                <w:rFonts w:ascii="Aptos" w:hAnsi="Aptos" w:cs="Arial"/>
              </w:rPr>
            </w:pPr>
            <w:r w:rsidRPr="00FD2E75">
              <w:rPr>
                <w:rFonts w:ascii="Aptos" w:hAnsi="Aptos" w:cs="Arial"/>
              </w:rPr>
              <w:t xml:space="preserve">Relevant </w:t>
            </w:r>
            <w:r w:rsidR="00EC5B99">
              <w:rPr>
                <w:rFonts w:ascii="Aptos" w:hAnsi="Aptos" w:cs="Arial"/>
              </w:rPr>
              <w:t xml:space="preserve">subsidy control </w:t>
            </w:r>
            <w:r w:rsidRPr="00FD2E75">
              <w:rPr>
                <w:rFonts w:ascii="Aptos" w:hAnsi="Aptos" w:cs="Arial"/>
              </w:rPr>
              <w:t>issues understood and clarified</w:t>
            </w:r>
          </w:p>
        </w:tc>
        <w:tc>
          <w:tcPr>
            <w:tcW w:w="1217" w:type="dxa"/>
          </w:tcPr>
          <w:p w14:paraId="71BB6A45" w14:textId="2090DB2E" w:rsidR="005000F9" w:rsidRPr="00FD2E75" w:rsidRDefault="005000F9">
            <w:pPr>
              <w:rPr>
                <w:rFonts w:ascii="Aptos" w:hAnsi="Aptos" w:cs="Arial"/>
              </w:rPr>
            </w:pPr>
            <w:r w:rsidRPr="00FD2E75">
              <w:rPr>
                <w:rFonts w:ascii="Aptos" w:hAnsi="Aptos" w:cs="Arial"/>
              </w:rPr>
              <w:t xml:space="preserve">Relevant </w:t>
            </w:r>
            <w:r w:rsidR="00EC5B99">
              <w:rPr>
                <w:rFonts w:ascii="Aptos" w:hAnsi="Aptos" w:cs="Arial"/>
              </w:rPr>
              <w:t xml:space="preserve">subsidy control </w:t>
            </w:r>
            <w:r w:rsidRPr="00FD2E75">
              <w:rPr>
                <w:rFonts w:ascii="Aptos" w:hAnsi="Aptos" w:cs="Arial"/>
              </w:rPr>
              <w:t>issues understood but currently unable to be clarified</w:t>
            </w:r>
          </w:p>
        </w:tc>
        <w:tc>
          <w:tcPr>
            <w:tcW w:w="1423" w:type="dxa"/>
          </w:tcPr>
          <w:p w14:paraId="3DE8C94F" w14:textId="4E89502E" w:rsidR="005000F9" w:rsidRPr="00FD2E75" w:rsidRDefault="005000F9">
            <w:pPr>
              <w:rPr>
                <w:rFonts w:ascii="Aptos" w:hAnsi="Aptos" w:cs="Arial"/>
              </w:rPr>
            </w:pPr>
            <w:r w:rsidRPr="00FD2E75">
              <w:rPr>
                <w:rFonts w:ascii="Aptos" w:hAnsi="Aptos" w:cs="Arial"/>
              </w:rPr>
              <w:t xml:space="preserve">No appropriate consideration of </w:t>
            </w:r>
            <w:r w:rsidR="00EC5B99">
              <w:rPr>
                <w:rFonts w:ascii="Aptos" w:hAnsi="Aptos" w:cs="Arial"/>
              </w:rPr>
              <w:t xml:space="preserve">subsidy control </w:t>
            </w:r>
            <w:r w:rsidRPr="00FD2E75">
              <w:rPr>
                <w:rFonts w:ascii="Aptos" w:hAnsi="Aptos" w:cs="Arial"/>
              </w:rPr>
              <w:t>provided</w:t>
            </w:r>
          </w:p>
        </w:tc>
        <w:tc>
          <w:tcPr>
            <w:tcW w:w="1395" w:type="dxa"/>
          </w:tcPr>
          <w:p w14:paraId="267FB970" w14:textId="7CD49523" w:rsidR="005000F9" w:rsidRPr="00FD2E75" w:rsidRDefault="005000F9">
            <w:pPr>
              <w:rPr>
                <w:rFonts w:ascii="Aptos" w:hAnsi="Aptos" w:cs="Arial"/>
              </w:rPr>
            </w:pPr>
            <w:r w:rsidRPr="00FD2E75">
              <w:rPr>
                <w:rFonts w:ascii="Aptos" w:hAnsi="Aptos" w:cs="Arial"/>
              </w:rPr>
              <w:t>Request not complian</w:t>
            </w:r>
            <w:r w:rsidR="00EC5B99">
              <w:rPr>
                <w:rFonts w:ascii="Aptos" w:hAnsi="Aptos" w:cs="Arial"/>
              </w:rPr>
              <w:t xml:space="preserve">t. </w:t>
            </w:r>
          </w:p>
        </w:tc>
        <w:tc>
          <w:tcPr>
            <w:tcW w:w="632" w:type="dxa"/>
            <w:vMerge/>
          </w:tcPr>
          <w:p w14:paraId="0CF9BA15" w14:textId="77777777" w:rsidR="005000F9" w:rsidRPr="00FD2E75" w:rsidRDefault="005000F9">
            <w:pPr>
              <w:rPr>
                <w:rFonts w:ascii="Aptos" w:hAnsi="Aptos" w:cs="Arial"/>
              </w:rPr>
            </w:pPr>
          </w:p>
        </w:tc>
      </w:tr>
      <w:tr w:rsidR="00557ACB" w:rsidRPr="00FD2E75" w14:paraId="2BF35A5E" w14:textId="77777777" w:rsidTr="29A98F4A">
        <w:tc>
          <w:tcPr>
            <w:tcW w:w="1442" w:type="dxa"/>
            <w:vMerge w:val="restart"/>
            <w:shd w:val="clear" w:color="auto" w:fill="D9D9D9" w:themeFill="background1" w:themeFillShade="D9"/>
          </w:tcPr>
          <w:p w14:paraId="20BDE1D7" w14:textId="77777777" w:rsidR="005000F9" w:rsidRPr="00FD2E75" w:rsidRDefault="005000F9">
            <w:pPr>
              <w:rPr>
                <w:rFonts w:ascii="Aptos" w:hAnsi="Aptos" w:cs="Arial"/>
                <w:b/>
              </w:rPr>
            </w:pPr>
            <w:r w:rsidRPr="00FD2E75">
              <w:rPr>
                <w:rFonts w:ascii="Aptos" w:hAnsi="Aptos" w:cs="Arial"/>
                <w:b/>
              </w:rPr>
              <w:t>Deliverability Risk</w:t>
            </w:r>
          </w:p>
        </w:tc>
        <w:tc>
          <w:tcPr>
            <w:tcW w:w="1452" w:type="dxa"/>
            <w:shd w:val="clear" w:color="auto" w:fill="538135" w:themeFill="accent6" w:themeFillShade="BF"/>
          </w:tcPr>
          <w:p w14:paraId="2F8DC98D" w14:textId="77777777" w:rsidR="005000F9" w:rsidRPr="00FD2E75" w:rsidRDefault="005000F9">
            <w:pPr>
              <w:rPr>
                <w:rFonts w:ascii="Aptos" w:hAnsi="Aptos" w:cs="Arial"/>
              </w:rPr>
            </w:pPr>
            <w:r w:rsidRPr="00FD2E75">
              <w:rPr>
                <w:rFonts w:ascii="Aptos" w:hAnsi="Aptos" w:cs="Arial"/>
              </w:rPr>
              <w:t>9-10</w:t>
            </w:r>
          </w:p>
        </w:tc>
        <w:tc>
          <w:tcPr>
            <w:tcW w:w="1101" w:type="dxa"/>
            <w:shd w:val="clear" w:color="auto" w:fill="A8D08D" w:themeFill="accent6" w:themeFillTint="99"/>
          </w:tcPr>
          <w:p w14:paraId="6D79F4E5" w14:textId="77777777" w:rsidR="005000F9" w:rsidRPr="00FD2E75" w:rsidRDefault="005000F9">
            <w:pPr>
              <w:rPr>
                <w:rFonts w:ascii="Aptos" w:hAnsi="Aptos" w:cs="Arial"/>
              </w:rPr>
            </w:pPr>
          </w:p>
        </w:tc>
        <w:tc>
          <w:tcPr>
            <w:tcW w:w="1217" w:type="dxa"/>
            <w:shd w:val="clear" w:color="auto" w:fill="E2EFD9" w:themeFill="accent6" w:themeFillTint="33"/>
          </w:tcPr>
          <w:p w14:paraId="7AB4EAC0" w14:textId="77777777" w:rsidR="005000F9" w:rsidRPr="00FD2E75" w:rsidRDefault="005000F9">
            <w:pPr>
              <w:rPr>
                <w:rFonts w:ascii="Aptos" w:hAnsi="Aptos" w:cs="Arial"/>
              </w:rPr>
            </w:pPr>
            <w:r w:rsidRPr="00FD2E75">
              <w:rPr>
                <w:rFonts w:ascii="Aptos" w:hAnsi="Aptos" w:cs="Arial"/>
              </w:rPr>
              <w:t>5-6</w:t>
            </w:r>
          </w:p>
        </w:tc>
        <w:tc>
          <w:tcPr>
            <w:tcW w:w="1217" w:type="dxa"/>
            <w:shd w:val="clear" w:color="auto" w:fill="FFE599" w:themeFill="accent4" w:themeFillTint="66"/>
          </w:tcPr>
          <w:p w14:paraId="099EC7CE" w14:textId="77777777" w:rsidR="005000F9" w:rsidRPr="00FD2E75" w:rsidRDefault="005000F9">
            <w:pPr>
              <w:rPr>
                <w:rFonts w:ascii="Aptos" w:hAnsi="Aptos" w:cs="Arial"/>
              </w:rPr>
            </w:pPr>
          </w:p>
        </w:tc>
        <w:tc>
          <w:tcPr>
            <w:tcW w:w="1423" w:type="dxa"/>
            <w:shd w:val="clear" w:color="auto" w:fill="FFC000" w:themeFill="accent4"/>
          </w:tcPr>
          <w:p w14:paraId="2B63EDA6" w14:textId="77777777" w:rsidR="005000F9" w:rsidRPr="00FD2E75" w:rsidRDefault="005000F9">
            <w:pPr>
              <w:rPr>
                <w:rFonts w:ascii="Aptos" w:hAnsi="Aptos" w:cs="Arial"/>
              </w:rPr>
            </w:pPr>
            <w:r w:rsidRPr="00FD2E75">
              <w:rPr>
                <w:rFonts w:ascii="Aptos" w:hAnsi="Aptos" w:cs="Arial"/>
              </w:rPr>
              <w:t>1-2</w:t>
            </w:r>
          </w:p>
        </w:tc>
        <w:tc>
          <w:tcPr>
            <w:tcW w:w="1395" w:type="dxa"/>
            <w:shd w:val="clear" w:color="auto" w:fill="FF0000"/>
          </w:tcPr>
          <w:p w14:paraId="33A0BB8B" w14:textId="77777777" w:rsidR="005000F9" w:rsidRPr="00FD2E75" w:rsidRDefault="005000F9">
            <w:pPr>
              <w:rPr>
                <w:rFonts w:ascii="Aptos" w:hAnsi="Aptos" w:cs="Arial"/>
              </w:rPr>
            </w:pPr>
            <w:r w:rsidRPr="00FD2E75">
              <w:rPr>
                <w:rFonts w:ascii="Aptos" w:hAnsi="Aptos" w:cs="Arial"/>
              </w:rPr>
              <w:t>0</w:t>
            </w:r>
          </w:p>
        </w:tc>
        <w:tc>
          <w:tcPr>
            <w:tcW w:w="632" w:type="dxa"/>
            <w:vMerge w:val="restart"/>
          </w:tcPr>
          <w:p w14:paraId="38478CDA" w14:textId="77777777" w:rsidR="005000F9" w:rsidRPr="00FD2E75" w:rsidRDefault="005000F9">
            <w:pPr>
              <w:rPr>
                <w:rFonts w:ascii="Aptos" w:hAnsi="Aptos" w:cs="Arial"/>
              </w:rPr>
            </w:pPr>
            <w:r w:rsidRPr="00FD2E75">
              <w:rPr>
                <w:rFonts w:ascii="Aptos" w:hAnsi="Aptos" w:cs="Arial"/>
              </w:rPr>
              <w:t>10</w:t>
            </w:r>
          </w:p>
        </w:tc>
      </w:tr>
      <w:tr w:rsidR="00FE1EFF" w:rsidRPr="00FD2E75" w14:paraId="214B034D" w14:textId="77777777" w:rsidTr="29A98F4A">
        <w:tc>
          <w:tcPr>
            <w:tcW w:w="1442" w:type="dxa"/>
            <w:vMerge/>
          </w:tcPr>
          <w:p w14:paraId="31DE9374" w14:textId="77777777" w:rsidR="005000F9" w:rsidRPr="00FD2E75" w:rsidRDefault="005000F9">
            <w:pPr>
              <w:rPr>
                <w:rFonts w:ascii="Aptos" w:hAnsi="Aptos" w:cs="Arial"/>
                <w:b/>
              </w:rPr>
            </w:pPr>
          </w:p>
        </w:tc>
        <w:tc>
          <w:tcPr>
            <w:tcW w:w="1452" w:type="dxa"/>
          </w:tcPr>
          <w:p w14:paraId="42CB91AC" w14:textId="77777777" w:rsidR="005000F9" w:rsidRPr="00FD2E75" w:rsidRDefault="005000F9">
            <w:pPr>
              <w:rPr>
                <w:rFonts w:ascii="Aptos" w:hAnsi="Aptos" w:cs="Arial"/>
              </w:rPr>
            </w:pPr>
            <w:r w:rsidRPr="00FD2E75">
              <w:rPr>
                <w:rFonts w:ascii="Aptos" w:hAnsi="Aptos" w:cs="Arial"/>
              </w:rPr>
              <w:t>Considered to be have a high chance of success &amp; completion by the timescales indicated - risks well managed</w:t>
            </w:r>
          </w:p>
        </w:tc>
        <w:tc>
          <w:tcPr>
            <w:tcW w:w="1101" w:type="dxa"/>
          </w:tcPr>
          <w:p w14:paraId="16A046BC" w14:textId="77777777" w:rsidR="005000F9" w:rsidRPr="00FD2E75" w:rsidRDefault="005000F9">
            <w:pPr>
              <w:rPr>
                <w:rFonts w:ascii="Aptos" w:hAnsi="Aptos" w:cs="Arial"/>
              </w:rPr>
            </w:pPr>
          </w:p>
        </w:tc>
        <w:tc>
          <w:tcPr>
            <w:tcW w:w="1217" w:type="dxa"/>
          </w:tcPr>
          <w:p w14:paraId="1DC64635" w14:textId="77777777" w:rsidR="005000F9" w:rsidRPr="00FD2E75" w:rsidRDefault="005000F9">
            <w:pPr>
              <w:rPr>
                <w:rFonts w:ascii="Aptos" w:hAnsi="Aptos" w:cs="Arial"/>
              </w:rPr>
            </w:pPr>
            <w:r w:rsidRPr="00FD2E75">
              <w:rPr>
                <w:rFonts w:ascii="Aptos" w:hAnsi="Aptos" w:cs="Arial"/>
              </w:rPr>
              <w:t>Moderately likely to succeed and be delivered by the timescales indicated, some risks with strategies in place</w:t>
            </w:r>
          </w:p>
        </w:tc>
        <w:tc>
          <w:tcPr>
            <w:tcW w:w="1217" w:type="dxa"/>
          </w:tcPr>
          <w:p w14:paraId="5A8023AA" w14:textId="77777777" w:rsidR="005000F9" w:rsidRPr="00FD2E75" w:rsidRDefault="005000F9">
            <w:pPr>
              <w:rPr>
                <w:rFonts w:ascii="Aptos" w:hAnsi="Aptos" w:cs="Arial"/>
              </w:rPr>
            </w:pPr>
          </w:p>
        </w:tc>
        <w:tc>
          <w:tcPr>
            <w:tcW w:w="1423" w:type="dxa"/>
          </w:tcPr>
          <w:p w14:paraId="00E50462" w14:textId="77777777" w:rsidR="005000F9" w:rsidRPr="00FD2E75" w:rsidRDefault="005000F9">
            <w:pPr>
              <w:rPr>
                <w:rFonts w:ascii="Aptos" w:hAnsi="Aptos" w:cs="Arial"/>
              </w:rPr>
            </w:pPr>
            <w:r w:rsidRPr="00FD2E75">
              <w:rPr>
                <w:rFonts w:ascii="Aptos" w:hAnsi="Aptos" w:cs="Arial"/>
              </w:rPr>
              <w:t>Management and delivery arrangements considered to be weak. High risk of failure</w:t>
            </w:r>
          </w:p>
        </w:tc>
        <w:tc>
          <w:tcPr>
            <w:tcW w:w="1395" w:type="dxa"/>
          </w:tcPr>
          <w:p w14:paraId="6CE5CBFC" w14:textId="77777777" w:rsidR="005000F9" w:rsidRPr="00FD2E75" w:rsidRDefault="005000F9">
            <w:pPr>
              <w:rPr>
                <w:rFonts w:ascii="Aptos" w:hAnsi="Aptos" w:cs="Arial"/>
              </w:rPr>
            </w:pPr>
            <w:r w:rsidRPr="00FD2E75">
              <w:rPr>
                <w:rFonts w:ascii="Aptos" w:hAnsi="Aptos" w:cs="Arial"/>
              </w:rPr>
              <w:t>Considered to have a very low likelihood of successful completion by the timescales indicated / multiple high level risks with no clear management</w:t>
            </w:r>
          </w:p>
        </w:tc>
        <w:tc>
          <w:tcPr>
            <w:tcW w:w="632" w:type="dxa"/>
            <w:vMerge/>
          </w:tcPr>
          <w:p w14:paraId="46CF7F14" w14:textId="77777777" w:rsidR="005000F9" w:rsidRPr="00FD2E75" w:rsidRDefault="005000F9">
            <w:pPr>
              <w:rPr>
                <w:rFonts w:ascii="Aptos" w:hAnsi="Aptos" w:cs="Arial"/>
              </w:rPr>
            </w:pPr>
          </w:p>
        </w:tc>
      </w:tr>
      <w:tr w:rsidR="00E52970" w:rsidRPr="00FD2E75" w14:paraId="7A665274" w14:textId="77777777" w:rsidTr="29A98F4A">
        <w:tc>
          <w:tcPr>
            <w:tcW w:w="7852" w:type="dxa"/>
            <w:gridSpan w:val="6"/>
          </w:tcPr>
          <w:p w14:paraId="1E7B6B8D" w14:textId="77777777" w:rsidR="005000F9" w:rsidRPr="00FD2E75" w:rsidRDefault="005000F9">
            <w:pPr>
              <w:rPr>
                <w:rFonts w:ascii="Aptos" w:hAnsi="Aptos" w:cs="Arial"/>
              </w:rPr>
            </w:pPr>
          </w:p>
        </w:tc>
        <w:tc>
          <w:tcPr>
            <w:tcW w:w="1395" w:type="dxa"/>
          </w:tcPr>
          <w:p w14:paraId="7FD9CFDE" w14:textId="77777777" w:rsidR="005000F9" w:rsidRPr="00FD2E75" w:rsidRDefault="005000F9">
            <w:pPr>
              <w:rPr>
                <w:rFonts w:ascii="Aptos" w:hAnsi="Aptos" w:cs="Arial"/>
              </w:rPr>
            </w:pPr>
            <w:r w:rsidRPr="00FD2E75">
              <w:rPr>
                <w:rFonts w:ascii="Aptos" w:hAnsi="Aptos" w:cs="Arial"/>
              </w:rPr>
              <w:t xml:space="preserve">Score </w:t>
            </w:r>
          </w:p>
        </w:tc>
        <w:tc>
          <w:tcPr>
            <w:tcW w:w="632" w:type="dxa"/>
          </w:tcPr>
          <w:p w14:paraId="62087B12" w14:textId="5E0771D0" w:rsidR="005000F9" w:rsidRPr="00FD2E75" w:rsidRDefault="005000F9">
            <w:pPr>
              <w:rPr>
                <w:rFonts w:ascii="Aptos" w:hAnsi="Aptos" w:cs="Arial"/>
              </w:rPr>
            </w:pPr>
            <w:r w:rsidRPr="00FD2E75">
              <w:rPr>
                <w:rFonts w:ascii="Aptos" w:hAnsi="Aptos" w:cs="Arial"/>
              </w:rPr>
              <w:t xml:space="preserve"> /</w:t>
            </w:r>
            <w:r w:rsidR="003E701C">
              <w:rPr>
                <w:rFonts w:ascii="Aptos" w:hAnsi="Aptos" w:cs="Arial"/>
              </w:rPr>
              <w:t>55</w:t>
            </w:r>
          </w:p>
        </w:tc>
      </w:tr>
    </w:tbl>
    <w:p w14:paraId="72700533" w14:textId="77777777" w:rsidR="007758AE" w:rsidRDefault="007758AE" w:rsidP="007758AE">
      <w:pPr>
        <w:pStyle w:val="ListParagraph"/>
        <w:jc w:val="both"/>
        <w:rPr>
          <w:rFonts w:ascii="Aptos" w:hAnsi="Aptos"/>
          <w:b/>
          <w:bCs/>
          <w:sz w:val="24"/>
          <w:szCs w:val="24"/>
        </w:rPr>
      </w:pPr>
    </w:p>
    <w:p w14:paraId="42762214" w14:textId="090A7D27" w:rsidR="005000F9" w:rsidRPr="005000F9" w:rsidRDefault="005000F9" w:rsidP="005000F9">
      <w:pPr>
        <w:pStyle w:val="ListParagraph"/>
        <w:numPr>
          <w:ilvl w:val="0"/>
          <w:numId w:val="4"/>
        </w:numPr>
        <w:jc w:val="both"/>
        <w:rPr>
          <w:rFonts w:ascii="Aptos" w:hAnsi="Aptos"/>
          <w:b/>
          <w:bCs/>
          <w:sz w:val="24"/>
          <w:szCs w:val="24"/>
        </w:rPr>
      </w:pPr>
      <w:r w:rsidRPr="005000F9">
        <w:rPr>
          <w:rFonts w:ascii="Aptos" w:hAnsi="Aptos"/>
          <w:b/>
          <w:bCs/>
          <w:sz w:val="24"/>
          <w:szCs w:val="24"/>
        </w:rPr>
        <w:t>Pipeline Development and Selection Process</w:t>
      </w:r>
    </w:p>
    <w:p w14:paraId="49062F82" w14:textId="51984DAA" w:rsidR="005000F9" w:rsidRPr="005000F9" w:rsidRDefault="005000F9" w:rsidP="005000F9">
      <w:pPr>
        <w:autoSpaceDE w:val="0"/>
        <w:autoSpaceDN w:val="0"/>
        <w:adjustRightInd w:val="0"/>
        <w:jc w:val="both"/>
        <w:rPr>
          <w:rFonts w:ascii="Aptos" w:hAnsi="Aptos" w:cs="Arial"/>
          <w:color w:val="000000"/>
          <w:sz w:val="24"/>
          <w:szCs w:val="24"/>
        </w:rPr>
      </w:pPr>
      <w:r w:rsidRPr="005000F9">
        <w:rPr>
          <w:rFonts w:ascii="Aptos" w:hAnsi="Aptos" w:cs="Arial"/>
          <w:color w:val="000000"/>
          <w:sz w:val="24"/>
          <w:szCs w:val="24"/>
        </w:rPr>
        <w:t xml:space="preserve">Project proposals will be scored against the selection criteria in this document, a minimum of </w:t>
      </w:r>
      <w:r w:rsidR="007758AE">
        <w:rPr>
          <w:rFonts w:ascii="Aptos" w:hAnsi="Aptos" w:cs="Arial"/>
          <w:color w:val="000000"/>
          <w:sz w:val="24"/>
          <w:szCs w:val="24"/>
        </w:rPr>
        <w:t>3</w:t>
      </w:r>
      <w:r w:rsidR="009C6531">
        <w:rPr>
          <w:rFonts w:ascii="Aptos" w:hAnsi="Aptos" w:cs="Arial"/>
          <w:color w:val="000000"/>
          <w:sz w:val="24"/>
          <w:szCs w:val="24"/>
        </w:rPr>
        <w:t>0</w:t>
      </w:r>
      <w:r w:rsidRPr="005000F9">
        <w:rPr>
          <w:rFonts w:ascii="Aptos" w:hAnsi="Aptos" w:cs="Arial"/>
          <w:color w:val="000000"/>
          <w:sz w:val="24"/>
          <w:szCs w:val="24"/>
        </w:rPr>
        <w:t xml:space="preserve"> is required to progress. A score of zero in any category will result in the proposal being rejected from the process. Scoring will be undertaken by a panel made up of members of the North East </w:t>
      </w:r>
      <w:r w:rsidR="00F34BE4">
        <w:rPr>
          <w:rFonts w:ascii="Aptos" w:hAnsi="Aptos" w:cs="Arial"/>
          <w:color w:val="000000"/>
          <w:sz w:val="24"/>
          <w:szCs w:val="24"/>
        </w:rPr>
        <w:t xml:space="preserve">Mayoral Strategic Authority </w:t>
      </w:r>
      <w:r w:rsidRPr="005000F9">
        <w:rPr>
          <w:rFonts w:ascii="Aptos" w:hAnsi="Aptos" w:cs="Arial"/>
          <w:color w:val="000000"/>
          <w:sz w:val="24"/>
          <w:szCs w:val="24"/>
        </w:rPr>
        <w:t xml:space="preserve">plus other relevant advisory members. </w:t>
      </w:r>
    </w:p>
    <w:p w14:paraId="0D596AB1" w14:textId="77777777" w:rsidR="005000F9" w:rsidRPr="005000F9" w:rsidRDefault="005000F9" w:rsidP="005000F9">
      <w:pPr>
        <w:jc w:val="both"/>
        <w:rPr>
          <w:rFonts w:ascii="Aptos" w:hAnsi="Aptos" w:cs="Arial"/>
          <w:color w:val="000000"/>
          <w:sz w:val="24"/>
          <w:szCs w:val="24"/>
        </w:rPr>
      </w:pPr>
    </w:p>
    <w:p w14:paraId="3A5EC152" w14:textId="6BA77AFA" w:rsidR="005000F9" w:rsidRPr="005000F9" w:rsidRDefault="005000F9" w:rsidP="005000F9">
      <w:pPr>
        <w:jc w:val="both"/>
        <w:rPr>
          <w:rFonts w:ascii="Aptos" w:hAnsi="Aptos" w:cs="Arial"/>
          <w:color w:val="000000"/>
          <w:sz w:val="24"/>
          <w:szCs w:val="24"/>
        </w:rPr>
      </w:pPr>
      <w:r w:rsidRPr="005000F9">
        <w:rPr>
          <w:rFonts w:ascii="Aptos" w:hAnsi="Aptos" w:cs="Arial"/>
          <w:color w:val="000000"/>
          <w:sz w:val="24"/>
          <w:szCs w:val="24"/>
        </w:rPr>
        <w:t xml:space="preserve">Following this, projects with a score of </w:t>
      </w:r>
      <w:r w:rsidR="007758AE">
        <w:rPr>
          <w:rFonts w:ascii="Aptos" w:hAnsi="Aptos" w:cs="Arial"/>
          <w:color w:val="000000"/>
          <w:sz w:val="24"/>
          <w:szCs w:val="24"/>
        </w:rPr>
        <w:t>3</w:t>
      </w:r>
      <w:r w:rsidR="003E701C">
        <w:rPr>
          <w:rFonts w:ascii="Aptos" w:hAnsi="Aptos" w:cs="Arial"/>
          <w:color w:val="000000"/>
          <w:sz w:val="24"/>
          <w:szCs w:val="24"/>
        </w:rPr>
        <w:t>0</w:t>
      </w:r>
      <w:r w:rsidRPr="005000F9">
        <w:rPr>
          <w:rFonts w:ascii="Aptos" w:hAnsi="Aptos" w:cs="Arial"/>
          <w:color w:val="000000"/>
          <w:sz w:val="24"/>
          <w:szCs w:val="24"/>
        </w:rPr>
        <w:t xml:space="preserve"> or above will be invited to take part in a peer review exercise with the intention of strengthening proposals. As part of the peer review process projects will also be prioritised taking into consideration any restraints on timescales e.g. match funding requirements and deliverability of the project. </w:t>
      </w:r>
    </w:p>
    <w:p w14:paraId="602B4965" w14:textId="77777777" w:rsidR="005000F9" w:rsidRPr="005000F9" w:rsidRDefault="005000F9" w:rsidP="005000F9">
      <w:pPr>
        <w:jc w:val="both"/>
        <w:rPr>
          <w:rFonts w:ascii="Aptos" w:hAnsi="Aptos" w:cs="Arial"/>
          <w:color w:val="000000"/>
          <w:sz w:val="24"/>
          <w:szCs w:val="24"/>
        </w:rPr>
      </w:pPr>
    </w:p>
    <w:p w14:paraId="77AB8307" w14:textId="33CB217E" w:rsidR="005000F9" w:rsidRPr="005000F9" w:rsidRDefault="005000F9" w:rsidP="005000F9">
      <w:pPr>
        <w:jc w:val="both"/>
        <w:rPr>
          <w:rFonts w:ascii="Aptos" w:hAnsi="Aptos" w:cs="Arial"/>
          <w:sz w:val="24"/>
          <w:szCs w:val="24"/>
        </w:rPr>
      </w:pPr>
      <w:r w:rsidRPr="005000F9">
        <w:rPr>
          <w:rFonts w:ascii="Aptos" w:hAnsi="Aptos" w:cs="Arial"/>
          <w:color w:val="000000"/>
          <w:sz w:val="24"/>
          <w:szCs w:val="24"/>
        </w:rPr>
        <w:t>The peer review process will result in a prioritised pipeline of proposals. Within the funding constraints of the programme, proposals will</w:t>
      </w:r>
      <w:r w:rsidR="008F5263">
        <w:rPr>
          <w:rFonts w:ascii="Aptos" w:hAnsi="Aptos" w:cs="Arial"/>
          <w:color w:val="000000"/>
          <w:sz w:val="24"/>
          <w:szCs w:val="24"/>
        </w:rPr>
        <w:t>,</w:t>
      </w:r>
      <w:r w:rsidRPr="005000F9">
        <w:rPr>
          <w:rFonts w:ascii="Aptos" w:hAnsi="Aptos" w:cs="Arial"/>
          <w:color w:val="000000"/>
          <w:sz w:val="24"/>
          <w:szCs w:val="24"/>
        </w:rPr>
        <w:t xml:space="preserve"> in priority order</w:t>
      </w:r>
      <w:r w:rsidR="008F5263">
        <w:rPr>
          <w:rFonts w:ascii="Aptos" w:hAnsi="Aptos" w:cs="Arial"/>
          <w:color w:val="000000"/>
          <w:sz w:val="24"/>
          <w:szCs w:val="24"/>
        </w:rPr>
        <w:t>,</w:t>
      </w:r>
      <w:r w:rsidRPr="005000F9">
        <w:rPr>
          <w:rFonts w:ascii="Aptos" w:hAnsi="Aptos" w:cs="Arial"/>
          <w:color w:val="000000"/>
          <w:sz w:val="24"/>
          <w:szCs w:val="24"/>
        </w:rPr>
        <w:t xml:space="preserve"> be invited to submit a full business case application. </w:t>
      </w:r>
      <w:r w:rsidRPr="005000F9">
        <w:rPr>
          <w:rFonts w:ascii="Aptos" w:hAnsi="Aptos" w:cs="Arial"/>
          <w:sz w:val="24"/>
          <w:szCs w:val="24"/>
        </w:rPr>
        <w:t xml:space="preserve">Acceptance of a project proposal to progress to full application stage does not in any way indicate or constitute an offer of grant from </w:t>
      </w:r>
      <w:r w:rsidR="008F5263">
        <w:rPr>
          <w:rFonts w:ascii="Aptos" w:hAnsi="Aptos" w:cs="Arial"/>
          <w:sz w:val="24"/>
          <w:szCs w:val="24"/>
        </w:rPr>
        <w:t xml:space="preserve">the </w:t>
      </w:r>
      <w:r w:rsidRPr="005000F9">
        <w:rPr>
          <w:rFonts w:ascii="Aptos" w:hAnsi="Aptos" w:cs="Arial"/>
          <w:sz w:val="24"/>
          <w:szCs w:val="24"/>
        </w:rPr>
        <w:t>North East</w:t>
      </w:r>
      <w:r w:rsidR="00F34BE4">
        <w:rPr>
          <w:rFonts w:ascii="Aptos" w:hAnsi="Aptos" w:cs="Arial"/>
          <w:sz w:val="24"/>
          <w:szCs w:val="24"/>
        </w:rPr>
        <w:t xml:space="preserve"> Mayoral Strategic Authority</w:t>
      </w:r>
      <w:r w:rsidRPr="005000F9">
        <w:rPr>
          <w:rFonts w:ascii="Aptos" w:hAnsi="Aptos" w:cs="Arial"/>
          <w:sz w:val="24"/>
          <w:szCs w:val="24"/>
        </w:rPr>
        <w:t>.</w:t>
      </w:r>
    </w:p>
    <w:p w14:paraId="09CE8D7F" w14:textId="77777777" w:rsidR="005000F9" w:rsidRPr="005000F9" w:rsidRDefault="005000F9" w:rsidP="005000F9">
      <w:pPr>
        <w:jc w:val="both"/>
        <w:rPr>
          <w:rFonts w:ascii="Aptos" w:hAnsi="Aptos" w:cs="Arial"/>
          <w:sz w:val="24"/>
          <w:szCs w:val="24"/>
        </w:rPr>
      </w:pPr>
    </w:p>
    <w:p w14:paraId="5416EE9E" w14:textId="59813340" w:rsidR="005000F9" w:rsidRPr="005000F9" w:rsidRDefault="005000F9" w:rsidP="005000F9">
      <w:pPr>
        <w:autoSpaceDE w:val="0"/>
        <w:autoSpaceDN w:val="0"/>
        <w:adjustRightInd w:val="0"/>
        <w:jc w:val="both"/>
        <w:rPr>
          <w:rFonts w:ascii="Aptos" w:hAnsi="Aptos" w:cs="Arial"/>
          <w:color w:val="000000"/>
          <w:sz w:val="24"/>
          <w:szCs w:val="24"/>
        </w:rPr>
      </w:pPr>
      <w:r w:rsidRPr="005000F9">
        <w:rPr>
          <w:rFonts w:ascii="Aptos" w:hAnsi="Aptos" w:cs="Arial"/>
          <w:color w:val="000000"/>
          <w:sz w:val="24"/>
          <w:szCs w:val="24"/>
        </w:rPr>
        <w:t xml:space="preserve">Each business case will be progressed in line with the North East </w:t>
      </w:r>
      <w:r w:rsidR="00547087">
        <w:rPr>
          <w:rFonts w:ascii="Aptos" w:hAnsi="Aptos" w:cs="Arial"/>
          <w:color w:val="000000"/>
          <w:sz w:val="24"/>
          <w:szCs w:val="24"/>
        </w:rPr>
        <w:t xml:space="preserve">Mayoral Strategic </w:t>
      </w:r>
      <w:r w:rsidRPr="005000F9">
        <w:rPr>
          <w:rFonts w:ascii="Aptos" w:hAnsi="Aptos" w:cs="Arial"/>
          <w:color w:val="000000"/>
          <w:sz w:val="24"/>
          <w:szCs w:val="24"/>
        </w:rPr>
        <w:t xml:space="preserve">Authority Assurance Framework and appraised against the HM Treasury ‘five case’ model prior to being considered for approval by the North East </w:t>
      </w:r>
      <w:r w:rsidR="00F34BE4">
        <w:rPr>
          <w:rFonts w:ascii="Aptos" w:hAnsi="Aptos" w:cs="Arial"/>
          <w:color w:val="000000"/>
          <w:sz w:val="24"/>
          <w:szCs w:val="24"/>
        </w:rPr>
        <w:t xml:space="preserve">Mayoral Strategic </w:t>
      </w:r>
      <w:r w:rsidR="000C081F">
        <w:rPr>
          <w:rFonts w:ascii="Aptos" w:hAnsi="Aptos" w:cs="Arial"/>
          <w:color w:val="000000"/>
          <w:sz w:val="24"/>
          <w:szCs w:val="24"/>
        </w:rPr>
        <w:t>Authority’s</w:t>
      </w:r>
      <w:r w:rsidRPr="005000F9">
        <w:rPr>
          <w:rFonts w:ascii="Aptos" w:hAnsi="Aptos" w:cs="Arial"/>
          <w:color w:val="000000"/>
          <w:sz w:val="24"/>
          <w:szCs w:val="24"/>
        </w:rPr>
        <w:t xml:space="preserve"> Technical Officers Group</w:t>
      </w:r>
      <w:r w:rsidR="005334F2">
        <w:rPr>
          <w:rFonts w:ascii="Aptos" w:hAnsi="Aptos" w:cs="Arial"/>
          <w:color w:val="000000"/>
          <w:sz w:val="24"/>
          <w:szCs w:val="24"/>
        </w:rPr>
        <w:t xml:space="preserve">, </w:t>
      </w:r>
      <w:r w:rsidRPr="005000F9">
        <w:rPr>
          <w:rFonts w:ascii="Aptos" w:hAnsi="Aptos" w:cs="Arial"/>
          <w:color w:val="000000"/>
          <w:sz w:val="24"/>
          <w:szCs w:val="24"/>
        </w:rPr>
        <w:t>Finance and Investment Board</w:t>
      </w:r>
      <w:r w:rsidR="005334F2">
        <w:rPr>
          <w:rFonts w:ascii="Aptos" w:hAnsi="Aptos" w:cs="Arial"/>
          <w:color w:val="000000"/>
          <w:sz w:val="24"/>
          <w:szCs w:val="24"/>
        </w:rPr>
        <w:t xml:space="preserve">, and Cabinet (if required). </w:t>
      </w:r>
    </w:p>
    <w:p w14:paraId="0ECD070E" w14:textId="77777777" w:rsidR="005000F9" w:rsidRPr="005000F9" w:rsidRDefault="005000F9" w:rsidP="005000F9">
      <w:pPr>
        <w:autoSpaceDE w:val="0"/>
        <w:autoSpaceDN w:val="0"/>
        <w:adjustRightInd w:val="0"/>
        <w:ind w:left="360"/>
        <w:jc w:val="both"/>
        <w:rPr>
          <w:rFonts w:ascii="Aptos" w:hAnsi="Aptos" w:cs="Arial"/>
          <w:color w:val="000000"/>
          <w:sz w:val="24"/>
          <w:szCs w:val="24"/>
        </w:rPr>
      </w:pPr>
    </w:p>
    <w:p w14:paraId="6A946DE3" w14:textId="77777777" w:rsidR="005000F9" w:rsidRPr="005000F9" w:rsidRDefault="005000F9" w:rsidP="005000F9">
      <w:pPr>
        <w:autoSpaceDE w:val="0"/>
        <w:autoSpaceDN w:val="0"/>
        <w:adjustRightInd w:val="0"/>
        <w:jc w:val="both"/>
        <w:rPr>
          <w:rFonts w:ascii="Aptos" w:hAnsi="Aptos" w:cs="Arial"/>
          <w:color w:val="000000"/>
          <w:sz w:val="24"/>
          <w:szCs w:val="24"/>
        </w:rPr>
      </w:pPr>
      <w:r w:rsidRPr="005000F9">
        <w:rPr>
          <w:rFonts w:ascii="Aptos" w:hAnsi="Aptos" w:cs="Arial"/>
          <w:color w:val="000000"/>
          <w:sz w:val="24"/>
          <w:szCs w:val="24"/>
        </w:rPr>
        <w:t xml:space="preserve">Please note the call for proposals will be repeated at regular intervals to continue the development of the pipeline for Phase 1 of the programme which extends to 2029. </w:t>
      </w:r>
    </w:p>
    <w:p w14:paraId="5B489A72" w14:textId="77777777" w:rsidR="005000F9" w:rsidRPr="005000F9" w:rsidRDefault="005000F9" w:rsidP="005000F9">
      <w:pPr>
        <w:autoSpaceDE w:val="0"/>
        <w:autoSpaceDN w:val="0"/>
        <w:adjustRightInd w:val="0"/>
        <w:ind w:left="360"/>
        <w:jc w:val="both"/>
        <w:rPr>
          <w:rFonts w:ascii="Aptos" w:hAnsi="Aptos" w:cs="Arial"/>
          <w:color w:val="000000"/>
          <w:sz w:val="24"/>
          <w:szCs w:val="24"/>
        </w:rPr>
      </w:pPr>
    </w:p>
    <w:p w14:paraId="0B59E05C" w14:textId="281FC513" w:rsidR="005000F9" w:rsidRPr="005000F9" w:rsidRDefault="005000F9" w:rsidP="005000F9">
      <w:pPr>
        <w:autoSpaceDE w:val="0"/>
        <w:autoSpaceDN w:val="0"/>
        <w:adjustRightInd w:val="0"/>
        <w:jc w:val="both"/>
        <w:rPr>
          <w:rFonts w:ascii="Aptos" w:hAnsi="Aptos" w:cs="Arial"/>
          <w:color w:val="000000"/>
          <w:sz w:val="24"/>
          <w:szCs w:val="24"/>
        </w:rPr>
      </w:pPr>
      <w:r w:rsidRPr="005000F9">
        <w:rPr>
          <w:rFonts w:ascii="Aptos" w:hAnsi="Aptos" w:cs="Arial"/>
          <w:color w:val="000000"/>
          <w:sz w:val="24"/>
          <w:szCs w:val="24"/>
        </w:rPr>
        <w:t xml:space="preserve">Projects which score over </w:t>
      </w:r>
      <w:r w:rsidR="007758AE">
        <w:rPr>
          <w:rFonts w:ascii="Aptos" w:hAnsi="Aptos" w:cs="Arial"/>
          <w:color w:val="000000"/>
          <w:sz w:val="24"/>
          <w:szCs w:val="24"/>
        </w:rPr>
        <w:t>3</w:t>
      </w:r>
      <w:r w:rsidR="003E701C">
        <w:rPr>
          <w:rFonts w:ascii="Aptos" w:hAnsi="Aptos" w:cs="Arial"/>
          <w:color w:val="000000"/>
          <w:sz w:val="24"/>
          <w:szCs w:val="24"/>
        </w:rPr>
        <w:t>0</w:t>
      </w:r>
      <w:r w:rsidRPr="005000F9">
        <w:rPr>
          <w:rFonts w:ascii="Aptos" w:hAnsi="Aptos" w:cs="Arial"/>
          <w:color w:val="000000"/>
          <w:sz w:val="24"/>
          <w:szCs w:val="24"/>
        </w:rPr>
        <w:t xml:space="preserve"> that are not invited to progress immediately as a high priority will still form part of the longer-term pipeline which will support the region in developing and evolving a constant pipeline of investment which can be utilised to make the case for further investment for the sector. </w:t>
      </w:r>
    </w:p>
    <w:p w14:paraId="1200CDD7" w14:textId="77777777" w:rsidR="005000F9" w:rsidRPr="005000F9" w:rsidRDefault="005000F9" w:rsidP="005000F9">
      <w:pPr>
        <w:autoSpaceDE w:val="0"/>
        <w:autoSpaceDN w:val="0"/>
        <w:adjustRightInd w:val="0"/>
        <w:ind w:left="360"/>
        <w:jc w:val="both"/>
        <w:rPr>
          <w:rFonts w:ascii="Aptos" w:hAnsi="Aptos" w:cs="Arial"/>
          <w:color w:val="000000"/>
          <w:sz w:val="24"/>
          <w:szCs w:val="24"/>
        </w:rPr>
      </w:pPr>
    </w:p>
    <w:p w14:paraId="43E56F39" w14:textId="77777777" w:rsidR="005000F9" w:rsidRPr="005000F9" w:rsidRDefault="005000F9" w:rsidP="005000F9">
      <w:pPr>
        <w:pStyle w:val="ListParagraph"/>
        <w:numPr>
          <w:ilvl w:val="0"/>
          <w:numId w:val="4"/>
        </w:numPr>
        <w:jc w:val="both"/>
        <w:rPr>
          <w:rFonts w:ascii="Aptos" w:hAnsi="Aptos"/>
          <w:b/>
          <w:bCs/>
          <w:sz w:val="24"/>
          <w:szCs w:val="24"/>
        </w:rPr>
      </w:pPr>
      <w:r w:rsidRPr="005000F9">
        <w:rPr>
          <w:rFonts w:ascii="Aptos" w:hAnsi="Aptos"/>
          <w:b/>
          <w:bCs/>
          <w:sz w:val="24"/>
          <w:szCs w:val="24"/>
        </w:rPr>
        <w:t>Timescales and deliverability</w:t>
      </w:r>
    </w:p>
    <w:p w14:paraId="53E8A770" w14:textId="3EEAD8FE" w:rsidR="005000F9" w:rsidRPr="005000F9" w:rsidRDefault="005000F9" w:rsidP="005000F9">
      <w:pPr>
        <w:jc w:val="both"/>
        <w:rPr>
          <w:rFonts w:ascii="Aptos" w:hAnsi="Aptos" w:cs="Arial"/>
          <w:sz w:val="24"/>
          <w:szCs w:val="24"/>
        </w:rPr>
      </w:pPr>
      <w:r w:rsidRPr="00F12F4C">
        <w:rPr>
          <w:rFonts w:ascii="Aptos" w:hAnsi="Aptos" w:cs="Arial"/>
          <w:sz w:val="24"/>
          <w:szCs w:val="24"/>
        </w:rPr>
        <w:t>Proposals considered as part of this call should relate to projects which can complete practical delivery of project activity by the end of March 2029;</w:t>
      </w:r>
      <w:r w:rsidRPr="00861A69">
        <w:rPr>
          <w:rFonts w:ascii="Aptos" w:hAnsi="Aptos" w:cs="Arial"/>
          <w:sz w:val="24"/>
          <w:szCs w:val="24"/>
        </w:rPr>
        <w:t xml:space="preserve"> however, North East</w:t>
      </w:r>
      <w:r w:rsidR="007B197F">
        <w:rPr>
          <w:rFonts w:ascii="Aptos" w:hAnsi="Aptos" w:cs="Arial"/>
          <w:sz w:val="24"/>
          <w:szCs w:val="24"/>
        </w:rPr>
        <w:t xml:space="preserve"> Mayoral Strategic </w:t>
      </w:r>
      <w:r w:rsidR="0092711F">
        <w:rPr>
          <w:rFonts w:ascii="Aptos" w:hAnsi="Aptos" w:cs="Arial"/>
          <w:sz w:val="24"/>
          <w:szCs w:val="24"/>
        </w:rPr>
        <w:t>Authority</w:t>
      </w:r>
      <w:r w:rsidR="007B197F">
        <w:rPr>
          <w:rFonts w:ascii="Aptos" w:hAnsi="Aptos" w:cs="Arial"/>
          <w:sz w:val="24"/>
          <w:szCs w:val="24"/>
        </w:rPr>
        <w:t xml:space="preserve"> </w:t>
      </w:r>
      <w:r w:rsidRPr="00861A69">
        <w:rPr>
          <w:rFonts w:ascii="Aptos" w:hAnsi="Aptos" w:cs="Arial"/>
          <w:sz w:val="24"/>
          <w:szCs w:val="24"/>
        </w:rPr>
        <w:t>reserves the right to extend this date as required.</w:t>
      </w:r>
    </w:p>
    <w:p w14:paraId="1F6C4357" w14:textId="77777777" w:rsidR="005000F9" w:rsidRPr="005000F9" w:rsidRDefault="005000F9" w:rsidP="005000F9">
      <w:pPr>
        <w:jc w:val="both"/>
        <w:rPr>
          <w:rFonts w:ascii="Aptos" w:hAnsi="Aptos" w:cs="Arial"/>
          <w:sz w:val="24"/>
          <w:szCs w:val="24"/>
        </w:rPr>
      </w:pPr>
    </w:p>
    <w:p w14:paraId="1760174E" w14:textId="38FEB262" w:rsidR="005000F9" w:rsidRPr="005000F9" w:rsidRDefault="005000F9" w:rsidP="005000F9">
      <w:pPr>
        <w:autoSpaceDE w:val="0"/>
        <w:autoSpaceDN w:val="0"/>
        <w:adjustRightInd w:val="0"/>
        <w:jc w:val="both"/>
        <w:rPr>
          <w:rFonts w:ascii="Aptos" w:hAnsi="Aptos" w:cs="Arial"/>
          <w:color w:val="000000"/>
          <w:sz w:val="24"/>
          <w:szCs w:val="24"/>
        </w:rPr>
      </w:pPr>
      <w:r w:rsidRPr="005000F9">
        <w:rPr>
          <w:rFonts w:ascii="Aptos" w:hAnsi="Aptos" w:cs="Arial"/>
          <w:color w:val="000000"/>
          <w:sz w:val="24"/>
          <w:szCs w:val="24"/>
        </w:rPr>
        <w:t xml:space="preserve">Projects must be able to demonstrate that the project activities are realistic and that public funds are required to fill an identified gap. </w:t>
      </w:r>
      <w:r w:rsidRPr="00F12F4C">
        <w:rPr>
          <w:rFonts w:ascii="Aptos" w:hAnsi="Aptos" w:cs="Arial"/>
          <w:color w:val="000000"/>
          <w:sz w:val="24"/>
          <w:szCs w:val="24"/>
        </w:rPr>
        <w:t>Delivery and financial completion is required by the 31st March 2029</w:t>
      </w:r>
      <w:r w:rsidR="0048581B">
        <w:rPr>
          <w:rFonts w:ascii="Aptos" w:hAnsi="Aptos" w:cs="Arial"/>
          <w:color w:val="000000"/>
          <w:sz w:val="24"/>
          <w:szCs w:val="24"/>
        </w:rPr>
        <w:t>,</w:t>
      </w:r>
      <w:r w:rsidRPr="00F12F4C">
        <w:rPr>
          <w:rFonts w:ascii="Aptos" w:hAnsi="Aptos" w:cs="Arial"/>
          <w:color w:val="000000"/>
          <w:sz w:val="24"/>
          <w:szCs w:val="24"/>
        </w:rPr>
        <w:t xml:space="preserve"> although longer term projects extending beyond this timescale will be considered.</w:t>
      </w:r>
      <w:r w:rsidRPr="005000F9">
        <w:rPr>
          <w:rFonts w:ascii="Aptos" w:hAnsi="Aptos" w:cs="Arial"/>
          <w:color w:val="000000"/>
          <w:sz w:val="24"/>
          <w:szCs w:val="24"/>
        </w:rPr>
        <w:t xml:space="preserve"> The project needs to demonstrate how this will be achieved within relevant timescales, with a business case supported by robust costings and clear delivery milestones. </w:t>
      </w:r>
    </w:p>
    <w:p w14:paraId="5C6AD5BD" w14:textId="77777777" w:rsidR="005000F9" w:rsidRPr="005000F9" w:rsidRDefault="005000F9" w:rsidP="005000F9">
      <w:pPr>
        <w:autoSpaceDE w:val="0"/>
        <w:autoSpaceDN w:val="0"/>
        <w:adjustRightInd w:val="0"/>
        <w:ind w:left="360"/>
        <w:jc w:val="both"/>
        <w:rPr>
          <w:rFonts w:ascii="Aptos" w:hAnsi="Aptos" w:cs="Arial"/>
          <w:color w:val="000000"/>
          <w:sz w:val="24"/>
          <w:szCs w:val="24"/>
        </w:rPr>
      </w:pPr>
    </w:p>
    <w:p w14:paraId="09969BAA" w14:textId="77777777" w:rsidR="005000F9" w:rsidRPr="005000F9" w:rsidRDefault="005000F9" w:rsidP="005000F9">
      <w:pPr>
        <w:jc w:val="both"/>
        <w:rPr>
          <w:rFonts w:ascii="Aptos" w:hAnsi="Aptos" w:cs="Arial"/>
          <w:color w:val="000000"/>
          <w:sz w:val="24"/>
          <w:szCs w:val="24"/>
        </w:rPr>
      </w:pPr>
      <w:r w:rsidRPr="005000F9">
        <w:rPr>
          <w:rFonts w:ascii="Aptos" w:hAnsi="Aptos" w:cs="Arial"/>
          <w:color w:val="000000"/>
          <w:sz w:val="24"/>
          <w:szCs w:val="24"/>
        </w:rPr>
        <w:t>In addition, you must demonstrate that you have identified and are managing risks to delivery, this may include securing planning approval, match funding, and going through required procurement processes depending on the stage of development.</w:t>
      </w:r>
    </w:p>
    <w:p w14:paraId="71DE80BA" w14:textId="77777777" w:rsidR="005000F9" w:rsidRDefault="005000F9" w:rsidP="005000F9">
      <w:pPr>
        <w:jc w:val="both"/>
        <w:rPr>
          <w:rFonts w:ascii="Aptos" w:hAnsi="Aptos" w:cs="Arial"/>
          <w:color w:val="000000"/>
          <w:sz w:val="24"/>
          <w:szCs w:val="24"/>
        </w:rPr>
      </w:pPr>
    </w:p>
    <w:p w14:paraId="6D12846E" w14:textId="77777777" w:rsidR="00A75A94" w:rsidRPr="005000F9" w:rsidRDefault="00A75A94" w:rsidP="005000F9">
      <w:pPr>
        <w:jc w:val="both"/>
        <w:rPr>
          <w:rFonts w:ascii="Aptos" w:hAnsi="Aptos" w:cs="Arial"/>
          <w:color w:val="000000"/>
          <w:sz w:val="24"/>
          <w:szCs w:val="24"/>
        </w:rPr>
      </w:pPr>
    </w:p>
    <w:p w14:paraId="7FFD53B5" w14:textId="706E8C9F" w:rsidR="005000F9" w:rsidRPr="005000F9" w:rsidRDefault="5DFF06AA" w:rsidP="005000F9">
      <w:pPr>
        <w:pStyle w:val="ListParagraph"/>
        <w:numPr>
          <w:ilvl w:val="0"/>
          <w:numId w:val="4"/>
        </w:numPr>
        <w:jc w:val="both"/>
        <w:rPr>
          <w:rFonts w:ascii="Aptos" w:hAnsi="Aptos"/>
          <w:b/>
          <w:bCs/>
          <w:sz w:val="24"/>
          <w:szCs w:val="24"/>
        </w:rPr>
      </w:pPr>
      <w:r w:rsidRPr="3119CF4B">
        <w:rPr>
          <w:rFonts w:ascii="Aptos" w:hAnsi="Aptos"/>
          <w:b/>
          <w:bCs/>
          <w:sz w:val="24"/>
          <w:szCs w:val="24"/>
        </w:rPr>
        <w:t xml:space="preserve">Subsidy control </w:t>
      </w:r>
    </w:p>
    <w:p w14:paraId="34813593" w14:textId="5CD776BC" w:rsidR="005000F9" w:rsidRPr="005000F9" w:rsidRDefault="10D62E54" w:rsidP="005000F9">
      <w:pPr>
        <w:jc w:val="both"/>
        <w:rPr>
          <w:rFonts w:ascii="Aptos" w:hAnsi="Aptos" w:cs="Arial"/>
          <w:color w:val="000000"/>
          <w:sz w:val="24"/>
          <w:szCs w:val="24"/>
        </w:rPr>
      </w:pPr>
      <w:r w:rsidRPr="29A98F4A">
        <w:rPr>
          <w:rFonts w:ascii="Aptos" w:hAnsi="Aptos" w:cs="Arial"/>
          <w:color w:val="000000" w:themeColor="text1"/>
          <w:sz w:val="24"/>
          <w:szCs w:val="24"/>
        </w:rPr>
        <w:t xml:space="preserve">Applicants must consider and inform the North East </w:t>
      </w:r>
      <w:r w:rsidR="10A13E25" w:rsidRPr="29A98F4A">
        <w:rPr>
          <w:rFonts w:ascii="Aptos" w:hAnsi="Aptos" w:cs="Arial"/>
          <w:color w:val="000000" w:themeColor="text1"/>
          <w:sz w:val="24"/>
          <w:szCs w:val="24"/>
        </w:rPr>
        <w:t xml:space="preserve">Mayoral Strategic Authority </w:t>
      </w:r>
      <w:r w:rsidRPr="29A98F4A">
        <w:rPr>
          <w:rFonts w:ascii="Aptos" w:hAnsi="Aptos" w:cs="Arial"/>
          <w:color w:val="000000" w:themeColor="text1"/>
          <w:sz w:val="24"/>
          <w:szCs w:val="24"/>
        </w:rPr>
        <w:t xml:space="preserve">whether </w:t>
      </w:r>
      <w:r w:rsidR="64A8FE11" w:rsidRPr="29A98F4A">
        <w:rPr>
          <w:rFonts w:ascii="Aptos" w:hAnsi="Aptos" w:cs="Arial"/>
          <w:color w:val="000000" w:themeColor="text1"/>
          <w:sz w:val="24"/>
          <w:szCs w:val="24"/>
        </w:rPr>
        <w:t xml:space="preserve">subsidy control </w:t>
      </w:r>
      <w:r w:rsidRPr="29A98F4A">
        <w:rPr>
          <w:rFonts w:ascii="Aptos" w:hAnsi="Aptos" w:cs="Arial"/>
          <w:color w:val="000000" w:themeColor="text1"/>
          <w:sz w:val="24"/>
          <w:szCs w:val="24"/>
        </w:rPr>
        <w:t>rules will be applicable to any successful financial award</w:t>
      </w:r>
      <w:r w:rsidR="51486F09" w:rsidRPr="29A98F4A">
        <w:rPr>
          <w:rFonts w:ascii="Aptos" w:hAnsi="Aptos" w:cs="Arial"/>
          <w:color w:val="000000" w:themeColor="text1"/>
          <w:sz w:val="24"/>
          <w:szCs w:val="24"/>
        </w:rPr>
        <w:t xml:space="preserve"> following development of a North East </w:t>
      </w:r>
      <w:r w:rsidR="03836370" w:rsidRPr="29A98F4A">
        <w:rPr>
          <w:rFonts w:ascii="Aptos" w:hAnsi="Aptos" w:cs="Arial"/>
          <w:color w:val="000000" w:themeColor="text1"/>
          <w:sz w:val="24"/>
          <w:szCs w:val="24"/>
        </w:rPr>
        <w:t xml:space="preserve">Mayoral Strategic Authority </w:t>
      </w:r>
      <w:r w:rsidR="51486F09" w:rsidRPr="29A98F4A">
        <w:rPr>
          <w:rFonts w:ascii="Aptos" w:hAnsi="Aptos" w:cs="Arial"/>
          <w:color w:val="000000" w:themeColor="text1"/>
          <w:sz w:val="24"/>
          <w:szCs w:val="24"/>
        </w:rPr>
        <w:t>business case.</w:t>
      </w:r>
    </w:p>
    <w:p w14:paraId="452FC13C" w14:textId="77777777" w:rsidR="005000F9" w:rsidRPr="005000F9" w:rsidRDefault="005000F9" w:rsidP="005000F9">
      <w:pPr>
        <w:jc w:val="both"/>
        <w:rPr>
          <w:rFonts w:ascii="Aptos" w:hAnsi="Aptos" w:cs="Arial"/>
          <w:color w:val="000000"/>
          <w:sz w:val="24"/>
          <w:szCs w:val="24"/>
        </w:rPr>
      </w:pPr>
    </w:p>
    <w:p w14:paraId="5414F250" w14:textId="77777777" w:rsidR="005000F9" w:rsidRPr="005000F9" w:rsidRDefault="005000F9" w:rsidP="005000F9">
      <w:pPr>
        <w:pStyle w:val="ListParagraph"/>
        <w:numPr>
          <w:ilvl w:val="0"/>
          <w:numId w:val="4"/>
        </w:numPr>
        <w:jc w:val="both"/>
        <w:rPr>
          <w:rFonts w:ascii="Aptos" w:hAnsi="Aptos"/>
          <w:b/>
          <w:bCs/>
          <w:sz w:val="24"/>
          <w:szCs w:val="24"/>
        </w:rPr>
      </w:pPr>
      <w:r w:rsidRPr="005000F9">
        <w:rPr>
          <w:rFonts w:ascii="Aptos" w:hAnsi="Aptos"/>
          <w:b/>
          <w:bCs/>
          <w:sz w:val="24"/>
          <w:szCs w:val="24"/>
        </w:rPr>
        <w:t>Outputs</w:t>
      </w:r>
    </w:p>
    <w:p w14:paraId="42A0C6E5" w14:textId="56AD629E" w:rsidR="005000F9" w:rsidRPr="005040F6" w:rsidRDefault="005000F9" w:rsidP="005000F9">
      <w:pPr>
        <w:pStyle w:val="paragraph"/>
        <w:spacing w:before="0" w:beforeAutospacing="0" w:after="0" w:afterAutospacing="0"/>
        <w:jc w:val="both"/>
        <w:textAlignment w:val="baseline"/>
        <w:rPr>
          <w:rFonts w:ascii="Aptos" w:hAnsi="Aptos" w:cs="Arial"/>
        </w:rPr>
      </w:pPr>
      <w:r w:rsidRPr="005000F9">
        <w:rPr>
          <w:rStyle w:val="normaltextrun"/>
          <w:rFonts w:ascii="Aptos" w:eastAsia="Batang" w:hAnsi="Aptos" w:cs="Arial"/>
        </w:rPr>
        <w:t xml:space="preserve">It is envisaged that proposals could deliver against the following North East </w:t>
      </w:r>
      <w:r w:rsidR="001B75B0">
        <w:rPr>
          <w:rStyle w:val="normaltextrun"/>
          <w:rFonts w:ascii="Aptos" w:eastAsia="Batang" w:hAnsi="Aptos" w:cs="Arial"/>
        </w:rPr>
        <w:t xml:space="preserve">Mayoral Strategic Authority </w:t>
      </w:r>
      <w:r w:rsidRPr="005000F9">
        <w:rPr>
          <w:rStyle w:val="normaltextrun"/>
          <w:rFonts w:ascii="Aptos" w:eastAsia="Batang" w:hAnsi="Aptos" w:cs="Arial"/>
        </w:rPr>
        <w:t xml:space="preserve">output </w:t>
      </w:r>
      <w:r w:rsidRPr="005040F6">
        <w:rPr>
          <w:rStyle w:val="normaltextrun"/>
          <w:rFonts w:ascii="Aptos" w:eastAsia="Batang" w:hAnsi="Aptos" w:cs="Arial"/>
        </w:rPr>
        <w:t>measures:</w:t>
      </w:r>
      <w:r w:rsidRPr="005040F6">
        <w:rPr>
          <w:rStyle w:val="eop"/>
          <w:rFonts w:ascii="Aptos" w:hAnsi="Aptos" w:cs="Arial"/>
        </w:rPr>
        <w:t> </w:t>
      </w:r>
    </w:p>
    <w:p w14:paraId="2CFB253F" w14:textId="77777777" w:rsidR="005000F9" w:rsidRPr="005040F6" w:rsidRDefault="005000F9" w:rsidP="005000F9">
      <w:pPr>
        <w:pStyle w:val="paragraph"/>
        <w:numPr>
          <w:ilvl w:val="0"/>
          <w:numId w:val="6"/>
        </w:numPr>
        <w:spacing w:before="0" w:beforeAutospacing="0" w:after="0" w:afterAutospacing="0"/>
        <w:ind w:left="360" w:firstLine="0"/>
        <w:textAlignment w:val="baseline"/>
        <w:rPr>
          <w:rStyle w:val="normaltextrun"/>
          <w:rFonts w:ascii="Aptos" w:eastAsia="Batang" w:hAnsi="Aptos" w:cs="Arial"/>
        </w:rPr>
      </w:pPr>
      <w:r w:rsidRPr="005040F6">
        <w:rPr>
          <w:rStyle w:val="normaltextrun"/>
          <w:rFonts w:ascii="Aptos" w:eastAsia="Batang" w:hAnsi="Aptos" w:cs="Arial"/>
        </w:rPr>
        <w:t>Direct jobs created</w:t>
      </w:r>
    </w:p>
    <w:p w14:paraId="39D0A480" w14:textId="77777777" w:rsidR="005000F9" w:rsidRPr="005040F6" w:rsidRDefault="005000F9" w:rsidP="005000F9">
      <w:pPr>
        <w:pStyle w:val="paragraph"/>
        <w:numPr>
          <w:ilvl w:val="0"/>
          <w:numId w:val="6"/>
        </w:numPr>
        <w:spacing w:before="0" w:beforeAutospacing="0" w:after="0" w:afterAutospacing="0"/>
        <w:ind w:left="360" w:firstLine="0"/>
        <w:textAlignment w:val="baseline"/>
        <w:rPr>
          <w:rStyle w:val="normaltextrun"/>
          <w:rFonts w:ascii="Aptos" w:eastAsia="Batang" w:hAnsi="Aptos" w:cs="Arial"/>
        </w:rPr>
      </w:pPr>
      <w:r w:rsidRPr="005040F6">
        <w:rPr>
          <w:rStyle w:val="normaltextrun"/>
          <w:rFonts w:ascii="Aptos" w:eastAsia="Batang" w:hAnsi="Aptos" w:cs="Arial"/>
        </w:rPr>
        <w:t>Indirect jobs created</w:t>
      </w:r>
    </w:p>
    <w:p w14:paraId="360C1202" w14:textId="2C2F82A9" w:rsidR="001B5E57" w:rsidRPr="005040F6" w:rsidRDefault="001B5E57" w:rsidP="005000F9">
      <w:pPr>
        <w:pStyle w:val="paragraph"/>
        <w:numPr>
          <w:ilvl w:val="0"/>
          <w:numId w:val="6"/>
        </w:numPr>
        <w:spacing w:before="0" w:beforeAutospacing="0" w:after="0" w:afterAutospacing="0"/>
        <w:ind w:left="360" w:firstLine="0"/>
        <w:textAlignment w:val="baseline"/>
        <w:rPr>
          <w:rStyle w:val="normaltextrun"/>
          <w:rFonts w:ascii="Aptos" w:eastAsia="Batang" w:hAnsi="Aptos" w:cs="Arial"/>
        </w:rPr>
      </w:pPr>
      <w:r w:rsidRPr="005040F6">
        <w:rPr>
          <w:rStyle w:val="normaltextrun"/>
          <w:rFonts w:ascii="Aptos" w:eastAsia="Batang" w:hAnsi="Aptos" w:cs="Arial"/>
        </w:rPr>
        <w:t>Additional floorspace unlocked (m2)</w:t>
      </w:r>
    </w:p>
    <w:p w14:paraId="40414865" w14:textId="1CF98B93" w:rsidR="005040F6" w:rsidRPr="005040F6" w:rsidRDefault="005040F6" w:rsidP="005040F6">
      <w:pPr>
        <w:pStyle w:val="paragraph"/>
        <w:numPr>
          <w:ilvl w:val="0"/>
          <w:numId w:val="6"/>
        </w:numPr>
        <w:spacing w:before="0" w:beforeAutospacing="0" w:after="0" w:afterAutospacing="0"/>
        <w:ind w:left="360" w:firstLine="0"/>
        <w:textAlignment w:val="baseline"/>
        <w:rPr>
          <w:rStyle w:val="normaltextrun"/>
          <w:rFonts w:ascii="Aptos" w:eastAsia="Batang" w:hAnsi="Aptos" w:cs="Arial"/>
        </w:rPr>
      </w:pPr>
      <w:r w:rsidRPr="005040F6">
        <w:rPr>
          <w:rStyle w:val="normaltextrun"/>
          <w:rFonts w:ascii="Aptos" w:eastAsia="Batang" w:hAnsi="Aptos" w:cs="Arial"/>
        </w:rPr>
        <w:t>Public and private sector leverage into infrastructure</w:t>
      </w:r>
    </w:p>
    <w:p w14:paraId="11036571" w14:textId="77777777" w:rsidR="005040F6" w:rsidRPr="005040F6" w:rsidRDefault="005040F6" w:rsidP="005040F6">
      <w:pPr>
        <w:pStyle w:val="paragraph"/>
        <w:spacing w:before="0" w:beforeAutospacing="0" w:after="0" w:afterAutospacing="0"/>
        <w:textAlignment w:val="baseline"/>
        <w:rPr>
          <w:rStyle w:val="normaltextrun"/>
          <w:rFonts w:ascii="Aptos" w:eastAsia="Batang" w:hAnsi="Aptos" w:cs="Arial"/>
        </w:rPr>
      </w:pPr>
    </w:p>
    <w:p w14:paraId="2A7BEBA8" w14:textId="638EEDAD" w:rsidR="005040F6" w:rsidRPr="005040F6" w:rsidRDefault="005040F6" w:rsidP="005040F6">
      <w:pPr>
        <w:pStyle w:val="paragraph"/>
        <w:spacing w:before="0" w:beforeAutospacing="0" w:after="0" w:afterAutospacing="0"/>
        <w:textAlignment w:val="baseline"/>
        <w:rPr>
          <w:rStyle w:val="normaltextrun"/>
          <w:rFonts w:ascii="Aptos" w:eastAsia="Batang" w:hAnsi="Aptos" w:cs="Arial"/>
          <w:u w:val="single"/>
        </w:rPr>
      </w:pPr>
      <w:r w:rsidRPr="005040F6">
        <w:rPr>
          <w:rStyle w:val="normaltextrun"/>
          <w:rFonts w:ascii="Aptos" w:eastAsia="Batang" w:hAnsi="Aptos" w:cs="Arial"/>
          <w:u w:val="single"/>
        </w:rPr>
        <w:t xml:space="preserve">Long-term </w:t>
      </w:r>
      <w:r w:rsidR="00EC0D38">
        <w:rPr>
          <w:rStyle w:val="normaltextrun"/>
          <w:rFonts w:ascii="Aptos" w:eastAsia="Batang" w:hAnsi="Aptos" w:cs="Arial"/>
          <w:u w:val="single"/>
        </w:rPr>
        <w:t>outcomes and</w:t>
      </w:r>
      <w:r w:rsidRPr="005040F6">
        <w:rPr>
          <w:rStyle w:val="normaltextrun"/>
          <w:rFonts w:ascii="Aptos" w:eastAsia="Batang" w:hAnsi="Aptos" w:cs="Arial"/>
          <w:u w:val="single"/>
        </w:rPr>
        <w:t xml:space="preserve"> impacts</w:t>
      </w:r>
    </w:p>
    <w:p w14:paraId="0152A967" w14:textId="4622B1B8" w:rsidR="005040F6" w:rsidRPr="005040F6" w:rsidRDefault="00EC0D38" w:rsidP="005040F6">
      <w:pPr>
        <w:pStyle w:val="paragraph"/>
        <w:numPr>
          <w:ilvl w:val="0"/>
          <w:numId w:val="9"/>
        </w:numPr>
        <w:textAlignment w:val="baseline"/>
        <w:rPr>
          <w:rStyle w:val="normaltextrun"/>
          <w:rFonts w:ascii="Aptos" w:eastAsia="Batang" w:hAnsi="Aptos" w:cs="Arial"/>
        </w:rPr>
      </w:pPr>
      <w:r>
        <w:rPr>
          <w:rStyle w:val="normaltextrun"/>
          <w:rFonts w:ascii="Aptos" w:eastAsia="Batang" w:hAnsi="Aptos" w:cs="Arial"/>
        </w:rPr>
        <w:t>Future private sector leverage</w:t>
      </w:r>
      <w:r w:rsidR="005040F6" w:rsidRPr="005040F6">
        <w:rPr>
          <w:rStyle w:val="normaltextrun"/>
          <w:rFonts w:ascii="Aptos" w:eastAsia="Batang" w:hAnsi="Aptos" w:cs="Arial"/>
        </w:rPr>
        <w:t xml:space="preserve"> from the offshore wind </w:t>
      </w:r>
      <w:r>
        <w:rPr>
          <w:rStyle w:val="normaltextrun"/>
          <w:rFonts w:ascii="Aptos" w:eastAsia="Batang" w:hAnsi="Aptos" w:cs="Arial"/>
        </w:rPr>
        <w:t>supply chain</w:t>
      </w:r>
      <w:r w:rsidRPr="005040F6">
        <w:rPr>
          <w:rStyle w:val="normaltextrun"/>
          <w:rFonts w:ascii="Aptos" w:eastAsia="Batang" w:hAnsi="Aptos" w:cs="Arial"/>
        </w:rPr>
        <w:t xml:space="preserve"> </w:t>
      </w:r>
      <w:r w:rsidR="005040F6" w:rsidRPr="005040F6">
        <w:rPr>
          <w:rStyle w:val="normaltextrun"/>
          <w:rFonts w:ascii="Aptos" w:eastAsia="Batang" w:hAnsi="Aptos" w:cs="Arial"/>
        </w:rPr>
        <w:t>into flagship industrial sites</w:t>
      </w:r>
    </w:p>
    <w:p w14:paraId="4AD41A35" w14:textId="0D1CF56D" w:rsidR="005040F6" w:rsidRPr="005040F6" w:rsidRDefault="005040F6" w:rsidP="005040F6">
      <w:pPr>
        <w:pStyle w:val="paragraph"/>
        <w:numPr>
          <w:ilvl w:val="0"/>
          <w:numId w:val="9"/>
        </w:numPr>
        <w:textAlignment w:val="baseline"/>
        <w:rPr>
          <w:rStyle w:val="normaltextrun"/>
          <w:rFonts w:ascii="Aptos" w:eastAsia="Batang" w:hAnsi="Aptos" w:cs="Arial"/>
        </w:rPr>
      </w:pPr>
      <w:r w:rsidRPr="005040F6">
        <w:rPr>
          <w:rStyle w:val="normaltextrun"/>
          <w:rFonts w:ascii="Aptos" w:eastAsia="Batang" w:hAnsi="Aptos" w:cs="Arial"/>
        </w:rPr>
        <w:t>Growth of the offshore wind supply chain in the North East</w:t>
      </w:r>
    </w:p>
    <w:p w14:paraId="725B844F" w14:textId="45FE3B85" w:rsidR="005040F6" w:rsidRDefault="005040F6" w:rsidP="005040F6">
      <w:pPr>
        <w:pStyle w:val="paragraph"/>
        <w:numPr>
          <w:ilvl w:val="0"/>
          <w:numId w:val="9"/>
        </w:numPr>
        <w:spacing w:before="0" w:beforeAutospacing="0" w:after="0" w:afterAutospacing="0"/>
        <w:textAlignment w:val="baseline"/>
        <w:rPr>
          <w:rStyle w:val="normaltextrun"/>
          <w:rFonts w:ascii="Aptos" w:eastAsia="Batang" w:hAnsi="Aptos" w:cs="Arial"/>
        </w:rPr>
      </w:pPr>
      <w:r w:rsidRPr="005040F6">
        <w:rPr>
          <w:rStyle w:val="normaltextrun"/>
          <w:rFonts w:ascii="Aptos" w:eastAsia="Batang" w:hAnsi="Aptos" w:cs="Arial"/>
        </w:rPr>
        <w:t>5000+ jobs created and safeguarded following inward investment and business expansion (as referenced in the Local Growth Plan Investment Pipeline)</w:t>
      </w:r>
    </w:p>
    <w:p w14:paraId="38E19DCC" w14:textId="77777777" w:rsidR="005000F9" w:rsidRPr="005000F9" w:rsidRDefault="005000F9" w:rsidP="005040F6">
      <w:pPr>
        <w:pStyle w:val="paragraph"/>
        <w:spacing w:before="0" w:beforeAutospacing="0" w:after="0" w:afterAutospacing="0"/>
        <w:textAlignment w:val="baseline"/>
        <w:rPr>
          <w:rStyle w:val="normaltextrun"/>
          <w:rFonts w:ascii="Aptos" w:eastAsia="Batang" w:hAnsi="Aptos" w:cs="Arial"/>
        </w:rPr>
      </w:pPr>
    </w:p>
    <w:p w14:paraId="426F7E17" w14:textId="546A2DBE" w:rsidR="005000F9" w:rsidRPr="005000F9" w:rsidRDefault="005000F9" w:rsidP="005000F9">
      <w:pPr>
        <w:pStyle w:val="paragraph"/>
        <w:spacing w:before="0" w:beforeAutospacing="0" w:after="0" w:afterAutospacing="0"/>
        <w:textAlignment w:val="baseline"/>
        <w:rPr>
          <w:rFonts w:ascii="Aptos" w:eastAsia="Batang" w:hAnsi="Aptos" w:cs="Arial"/>
        </w:rPr>
      </w:pPr>
      <w:r w:rsidRPr="005000F9">
        <w:rPr>
          <w:rStyle w:val="normaltextrun"/>
          <w:rFonts w:ascii="Aptos" w:eastAsia="Batang" w:hAnsi="Aptos" w:cs="Arial"/>
        </w:rPr>
        <w:t xml:space="preserve">The North East </w:t>
      </w:r>
      <w:r w:rsidR="001B75B0">
        <w:rPr>
          <w:rStyle w:val="normaltextrun"/>
          <w:rFonts w:ascii="Aptos" w:eastAsia="Batang" w:hAnsi="Aptos" w:cs="Arial"/>
        </w:rPr>
        <w:t>Mayoral Strategic Authority</w:t>
      </w:r>
      <w:r w:rsidRPr="005000F9">
        <w:rPr>
          <w:rStyle w:val="normaltextrun"/>
          <w:rFonts w:ascii="Aptos" w:eastAsia="Batang" w:hAnsi="Aptos" w:cs="Arial"/>
        </w:rPr>
        <w:t xml:space="preserve"> output guidance will be provided with the project proposal form.</w:t>
      </w:r>
    </w:p>
    <w:p w14:paraId="4A45102C" w14:textId="77777777" w:rsidR="005000F9" w:rsidRPr="005000F9" w:rsidRDefault="005000F9" w:rsidP="005000F9">
      <w:pPr>
        <w:jc w:val="both"/>
        <w:rPr>
          <w:rFonts w:ascii="Aptos" w:hAnsi="Aptos" w:cs="Arial"/>
          <w:b/>
          <w:bCs/>
          <w:sz w:val="24"/>
          <w:szCs w:val="24"/>
        </w:rPr>
      </w:pPr>
    </w:p>
    <w:p w14:paraId="568A3D54" w14:textId="77777777" w:rsidR="005000F9" w:rsidRPr="005000F9" w:rsidRDefault="005000F9" w:rsidP="005000F9">
      <w:pPr>
        <w:pStyle w:val="ListParagraph"/>
        <w:numPr>
          <w:ilvl w:val="0"/>
          <w:numId w:val="4"/>
        </w:numPr>
        <w:jc w:val="both"/>
        <w:rPr>
          <w:rFonts w:ascii="Aptos" w:hAnsi="Aptos"/>
          <w:b/>
          <w:bCs/>
          <w:sz w:val="24"/>
          <w:szCs w:val="24"/>
        </w:rPr>
      </w:pPr>
      <w:r w:rsidRPr="005000F9">
        <w:rPr>
          <w:rFonts w:ascii="Aptos" w:hAnsi="Aptos"/>
          <w:b/>
          <w:bCs/>
          <w:sz w:val="24"/>
          <w:szCs w:val="24"/>
        </w:rPr>
        <w:t>Submission of proposal</w:t>
      </w:r>
    </w:p>
    <w:p w14:paraId="105F9516" w14:textId="77777777" w:rsidR="005000F9" w:rsidRPr="005000F9" w:rsidRDefault="005000F9" w:rsidP="005000F9">
      <w:pPr>
        <w:jc w:val="both"/>
        <w:rPr>
          <w:rFonts w:ascii="Aptos" w:hAnsi="Aptos" w:cs="Arial"/>
          <w:sz w:val="24"/>
          <w:szCs w:val="24"/>
        </w:rPr>
      </w:pPr>
      <w:r w:rsidRPr="005000F9">
        <w:rPr>
          <w:rFonts w:ascii="Aptos" w:hAnsi="Aptos" w:cs="Arial"/>
          <w:sz w:val="24"/>
          <w:szCs w:val="24"/>
        </w:rPr>
        <w:t xml:space="preserve">We welcome informal contact, enquiries, and discussion from interested parties to help you assess the eligibility of your project or to answer any questions you may have. </w:t>
      </w:r>
    </w:p>
    <w:p w14:paraId="3DE7311A" w14:textId="77777777" w:rsidR="005000F9" w:rsidRPr="005000F9" w:rsidRDefault="005000F9" w:rsidP="005000F9">
      <w:pPr>
        <w:ind w:left="360"/>
        <w:jc w:val="both"/>
        <w:rPr>
          <w:rFonts w:ascii="Aptos" w:hAnsi="Aptos" w:cs="Arial"/>
          <w:sz w:val="24"/>
          <w:szCs w:val="24"/>
        </w:rPr>
      </w:pPr>
    </w:p>
    <w:p w14:paraId="4DACA214" w14:textId="254C00CF" w:rsidR="00BC6C52" w:rsidRPr="0044276A" w:rsidRDefault="005000F9" w:rsidP="2AC40A5F">
      <w:pPr>
        <w:jc w:val="both"/>
        <w:rPr>
          <w:rFonts w:ascii="Aptos" w:hAnsi="Aptos" w:cs="Arial"/>
          <w:sz w:val="24"/>
          <w:szCs w:val="24"/>
        </w:rPr>
      </w:pPr>
      <w:r w:rsidRPr="0044276A">
        <w:rPr>
          <w:rFonts w:ascii="Aptos" w:hAnsi="Aptos" w:cs="Arial"/>
          <w:sz w:val="24"/>
          <w:szCs w:val="24"/>
        </w:rPr>
        <w:t xml:space="preserve">If you are interested in submitting a project proposal, please </w:t>
      </w:r>
      <w:r w:rsidR="00CD778B" w:rsidRPr="0044276A">
        <w:rPr>
          <w:rFonts w:ascii="Aptos" w:hAnsi="Aptos" w:cs="Arial"/>
          <w:sz w:val="24"/>
          <w:szCs w:val="24"/>
        </w:rPr>
        <w:t xml:space="preserve">send </w:t>
      </w:r>
      <w:r w:rsidR="5306E809" w:rsidRPr="0044276A">
        <w:rPr>
          <w:rFonts w:ascii="Aptos" w:hAnsi="Aptos" w:cs="Arial"/>
          <w:sz w:val="24"/>
          <w:szCs w:val="24"/>
        </w:rPr>
        <w:t>the application form</w:t>
      </w:r>
      <w:r w:rsidR="000D2766" w:rsidRPr="0044276A">
        <w:rPr>
          <w:rFonts w:ascii="Aptos" w:hAnsi="Aptos" w:cs="Arial"/>
          <w:sz w:val="24"/>
          <w:szCs w:val="24"/>
        </w:rPr>
        <w:t xml:space="preserve"> </w:t>
      </w:r>
      <w:r w:rsidR="00BC6C52" w:rsidRPr="0044276A">
        <w:rPr>
          <w:rFonts w:ascii="Aptos" w:hAnsi="Aptos" w:cs="Arial"/>
          <w:sz w:val="24"/>
          <w:szCs w:val="24"/>
        </w:rPr>
        <w:t xml:space="preserve">to </w:t>
      </w:r>
      <w:hyperlink r:id="rId11">
        <w:r w:rsidR="69D6E53F" w:rsidRPr="0044276A">
          <w:rPr>
            <w:rStyle w:val="Hyperlink"/>
            <w:rFonts w:ascii="Aptos" w:hAnsi="Aptos" w:cs="Arial"/>
            <w:sz w:val="24"/>
            <w:szCs w:val="24"/>
          </w:rPr>
          <w:t>offshore.wind@northeast-ca.gov.uk</w:t>
        </w:r>
        <w:r w:rsidR="0A7C7CE7" w:rsidRPr="0044276A">
          <w:rPr>
            <w:rStyle w:val="Hyperlink"/>
            <w:rFonts w:ascii="Aptos" w:hAnsi="Aptos" w:cs="Arial"/>
            <w:sz w:val="24"/>
            <w:szCs w:val="24"/>
          </w:rPr>
          <w:t>.</w:t>
        </w:r>
      </w:hyperlink>
    </w:p>
    <w:p w14:paraId="0F2EE96F" w14:textId="77777777" w:rsidR="00BC6C52" w:rsidRDefault="00BC6C52" w:rsidP="2AC40A5F">
      <w:pPr>
        <w:jc w:val="both"/>
        <w:rPr>
          <w:rFonts w:ascii="Aptos" w:hAnsi="Aptos" w:cs="Arial"/>
          <w:sz w:val="24"/>
          <w:szCs w:val="24"/>
        </w:rPr>
      </w:pPr>
    </w:p>
    <w:p w14:paraId="7290DC95" w14:textId="1E7BDA12" w:rsidR="005000F9" w:rsidRPr="005000F9" w:rsidRDefault="005000F9" w:rsidP="2AC40A5F">
      <w:pPr>
        <w:jc w:val="both"/>
        <w:rPr>
          <w:rFonts w:ascii="Aptos" w:hAnsi="Aptos" w:cs="Arial"/>
          <w:sz w:val="24"/>
          <w:szCs w:val="24"/>
        </w:rPr>
      </w:pPr>
      <w:r w:rsidRPr="005000F9">
        <w:rPr>
          <w:rFonts w:ascii="Aptos" w:hAnsi="Aptos" w:cs="Arial"/>
          <w:sz w:val="24"/>
          <w:szCs w:val="24"/>
        </w:rPr>
        <w:t xml:space="preserve">Before doing so please ensure that you have followed the guidance, completed all questions and entered an electronic signature. </w:t>
      </w:r>
      <w:r w:rsidR="00A22CED">
        <w:rPr>
          <w:rFonts w:ascii="Aptos" w:hAnsi="Aptos" w:cs="Arial"/>
          <w:sz w:val="24"/>
          <w:szCs w:val="24"/>
        </w:rPr>
        <w:t xml:space="preserve"> </w:t>
      </w:r>
      <w:r w:rsidRPr="005000F9">
        <w:rPr>
          <w:rFonts w:ascii="Aptos" w:hAnsi="Aptos" w:cs="Arial"/>
          <w:sz w:val="24"/>
          <w:szCs w:val="24"/>
        </w:rPr>
        <w:t>This call for project proposals will open</w:t>
      </w:r>
      <w:r w:rsidR="00815DE0">
        <w:rPr>
          <w:rFonts w:ascii="Aptos" w:hAnsi="Aptos" w:cs="Arial"/>
          <w:sz w:val="24"/>
          <w:szCs w:val="24"/>
        </w:rPr>
        <w:t xml:space="preserve"> </w:t>
      </w:r>
      <w:r w:rsidRPr="005000F9">
        <w:rPr>
          <w:rFonts w:ascii="Aptos" w:hAnsi="Aptos" w:cs="Arial"/>
          <w:sz w:val="24"/>
          <w:szCs w:val="24"/>
        </w:rPr>
        <w:t xml:space="preserve">on the </w:t>
      </w:r>
      <w:r w:rsidR="0B9608F5" w:rsidRPr="21821A87">
        <w:rPr>
          <w:rFonts w:ascii="Aptos" w:hAnsi="Aptos" w:cs="Arial"/>
          <w:sz w:val="24"/>
          <w:szCs w:val="24"/>
        </w:rPr>
        <w:t>18</w:t>
      </w:r>
      <w:r w:rsidR="0B9608F5" w:rsidRPr="21821A87">
        <w:rPr>
          <w:rFonts w:ascii="Aptos" w:hAnsi="Aptos" w:cs="Arial"/>
          <w:sz w:val="24"/>
          <w:szCs w:val="24"/>
          <w:vertAlign w:val="superscript"/>
        </w:rPr>
        <w:t>th</w:t>
      </w:r>
      <w:r w:rsidR="0B9608F5" w:rsidRPr="21821A87">
        <w:rPr>
          <w:rFonts w:ascii="Aptos" w:hAnsi="Aptos" w:cs="Arial"/>
          <w:sz w:val="24"/>
          <w:szCs w:val="24"/>
        </w:rPr>
        <w:t xml:space="preserve"> </w:t>
      </w:r>
      <w:r w:rsidR="68867C0D" w:rsidRPr="2AC40A5F">
        <w:rPr>
          <w:rFonts w:ascii="Aptos" w:hAnsi="Aptos" w:cs="Arial"/>
          <w:sz w:val="24"/>
          <w:szCs w:val="24"/>
        </w:rPr>
        <w:t xml:space="preserve">of </w:t>
      </w:r>
      <w:r w:rsidR="0B9608F5" w:rsidRPr="21821A87">
        <w:rPr>
          <w:rFonts w:ascii="Aptos" w:hAnsi="Aptos" w:cs="Arial"/>
          <w:sz w:val="24"/>
          <w:szCs w:val="24"/>
        </w:rPr>
        <w:t>May</w:t>
      </w:r>
      <w:r w:rsidRPr="005000F9">
        <w:rPr>
          <w:rFonts w:ascii="Aptos" w:hAnsi="Aptos" w:cs="Arial"/>
          <w:sz w:val="24"/>
          <w:szCs w:val="24"/>
        </w:rPr>
        <w:t xml:space="preserve"> and will close </w:t>
      </w:r>
      <w:r w:rsidRPr="003349AF">
        <w:rPr>
          <w:rFonts w:ascii="Aptos" w:hAnsi="Aptos" w:cs="Arial"/>
          <w:sz w:val="24"/>
          <w:szCs w:val="24"/>
        </w:rPr>
        <w:t xml:space="preserve">on </w:t>
      </w:r>
      <w:r w:rsidR="0DFA4205" w:rsidRPr="003349AF">
        <w:rPr>
          <w:rFonts w:ascii="Aptos" w:hAnsi="Aptos" w:cs="Arial"/>
          <w:sz w:val="24"/>
          <w:szCs w:val="24"/>
        </w:rPr>
        <w:t>the 8</w:t>
      </w:r>
      <w:r w:rsidR="0DFA4205" w:rsidRPr="003349AF">
        <w:rPr>
          <w:rFonts w:ascii="Aptos" w:hAnsi="Aptos" w:cs="Arial"/>
          <w:sz w:val="24"/>
          <w:szCs w:val="24"/>
          <w:vertAlign w:val="superscript"/>
        </w:rPr>
        <w:t>th</w:t>
      </w:r>
      <w:r w:rsidR="0DFA4205" w:rsidRPr="003349AF">
        <w:rPr>
          <w:rFonts w:ascii="Aptos" w:hAnsi="Aptos" w:cs="Arial"/>
          <w:sz w:val="24"/>
          <w:szCs w:val="24"/>
        </w:rPr>
        <w:t xml:space="preserve"> of June. </w:t>
      </w:r>
      <w:r w:rsidRPr="005000F9">
        <w:rPr>
          <w:rFonts w:ascii="Aptos" w:hAnsi="Aptos" w:cs="Arial"/>
          <w:sz w:val="24"/>
          <w:szCs w:val="24"/>
        </w:rPr>
        <w:t xml:space="preserve"> Project proposals which meet the criteria and score more than </w:t>
      </w:r>
      <w:r w:rsidR="00A22CED" w:rsidRPr="16704795">
        <w:rPr>
          <w:rFonts w:ascii="Aptos" w:hAnsi="Aptos" w:cs="Arial"/>
          <w:sz w:val="24"/>
          <w:szCs w:val="24"/>
        </w:rPr>
        <w:t>3</w:t>
      </w:r>
      <w:r w:rsidR="00D405F8">
        <w:rPr>
          <w:rFonts w:ascii="Aptos" w:hAnsi="Aptos" w:cs="Arial"/>
          <w:sz w:val="24"/>
          <w:szCs w:val="24"/>
        </w:rPr>
        <w:t>0</w:t>
      </w:r>
      <w:r w:rsidRPr="005000F9">
        <w:rPr>
          <w:rFonts w:ascii="Aptos" w:hAnsi="Aptos" w:cs="Arial"/>
          <w:sz w:val="24"/>
          <w:szCs w:val="24"/>
        </w:rPr>
        <w:t xml:space="preserve"> points based on the selection criteria will be asked to take part in a peer review exercise</w:t>
      </w:r>
      <w:r w:rsidR="003B1980">
        <w:rPr>
          <w:rFonts w:ascii="Aptos" w:hAnsi="Aptos" w:cs="Arial"/>
          <w:sz w:val="24"/>
          <w:szCs w:val="24"/>
        </w:rPr>
        <w:t xml:space="preserve"> and develop business case. </w:t>
      </w:r>
    </w:p>
    <w:p w14:paraId="3280B6FD" w14:textId="77777777" w:rsidR="00A011B4" w:rsidRPr="005000F9" w:rsidRDefault="00A011B4" w:rsidP="005000F9">
      <w:pPr>
        <w:ind w:left="360"/>
        <w:jc w:val="both"/>
        <w:rPr>
          <w:rFonts w:ascii="Aptos" w:hAnsi="Aptos" w:cs="Arial"/>
          <w:sz w:val="24"/>
          <w:szCs w:val="24"/>
        </w:rPr>
      </w:pPr>
    </w:p>
    <w:p w14:paraId="3A6B2954" w14:textId="77777777" w:rsidR="005000F9" w:rsidRPr="005000F9" w:rsidRDefault="005000F9" w:rsidP="005000F9">
      <w:pPr>
        <w:pStyle w:val="ListParagraph"/>
        <w:numPr>
          <w:ilvl w:val="0"/>
          <w:numId w:val="4"/>
        </w:numPr>
        <w:jc w:val="both"/>
        <w:rPr>
          <w:rFonts w:ascii="Aptos" w:hAnsi="Aptos"/>
          <w:b/>
          <w:bCs/>
          <w:sz w:val="24"/>
          <w:szCs w:val="24"/>
        </w:rPr>
      </w:pPr>
      <w:r w:rsidRPr="005000F9">
        <w:rPr>
          <w:rFonts w:ascii="Aptos" w:hAnsi="Aptos"/>
          <w:b/>
          <w:bCs/>
          <w:sz w:val="24"/>
          <w:szCs w:val="24"/>
        </w:rPr>
        <w:t>Other supporting documents</w:t>
      </w:r>
    </w:p>
    <w:p w14:paraId="3C1D5641" w14:textId="77777777" w:rsidR="005000F9" w:rsidRPr="005000F9" w:rsidRDefault="005000F9" w:rsidP="005000F9">
      <w:pPr>
        <w:jc w:val="both"/>
        <w:rPr>
          <w:rFonts w:ascii="Aptos" w:hAnsi="Aptos" w:cs="Arial"/>
          <w:sz w:val="24"/>
          <w:szCs w:val="24"/>
        </w:rPr>
      </w:pPr>
      <w:r w:rsidRPr="005000F9">
        <w:rPr>
          <w:rFonts w:ascii="Aptos" w:hAnsi="Aptos" w:cs="Arial"/>
          <w:sz w:val="24"/>
          <w:szCs w:val="24"/>
        </w:rPr>
        <w:t>Please consider the following strategic documents that may help you with your application.</w:t>
      </w:r>
    </w:p>
    <w:p w14:paraId="4C82D42E" w14:textId="77777777" w:rsidR="005000F9" w:rsidRPr="005000F9" w:rsidRDefault="005000F9" w:rsidP="005000F9">
      <w:pPr>
        <w:ind w:left="360"/>
        <w:jc w:val="both"/>
        <w:rPr>
          <w:rFonts w:ascii="Aptos" w:hAnsi="Aptos" w:cs="Arial"/>
          <w:sz w:val="24"/>
          <w:szCs w:val="24"/>
        </w:rPr>
      </w:pPr>
    </w:p>
    <w:p w14:paraId="5212B703" w14:textId="4AF3A37A" w:rsidR="005000F9" w:rsidRPr="005000F9" w:rsidRDefault="005000F9" w:rsidP="005000F9">
      <w:pPr>
        <w:pStyle w:val="ListParagraph"/>
        <w:numPr>
          <w:ilvl w:val="0"/>
          <w:numId w:val="8"/>
        </w:numPr>
        <w:contextualSpacing w:val="0"/>
        <w:jc w:val="both"/>
        <w:rPr>
          <w:rFonts w:ascii="Aptos" w:hAnsi="Aptos"/>
          <w:sz w:val="24"/>
          <w:szCs w:val="24"/>
        </w:rPr>
      </w:pPr>
      <w:r w:rsidRPr="005000F9">
        <w:rPr>
          <w:rFonts w:ascii="Aptos" w:hAnsi="Aptos"/>
          <w:sz w:val="24"/>
          <w:szCs w:val="24"/>
        </w:rPr>
        <w:t>North East Local Growth Plan</w:t>
      </w:r>
      <w:r w:rsidR="00E52970">
        <w:rPr>
          <w:rFonts w:ascii="Aptos" w:hAnsi="Aptos"/>
          <w:sz w:val="24"/>
          <w:szCs w:val="24"/>
        </w:rPr>
        <w:t>-</w:t>
      </w:r>
      <w:hyperlink r:id="rId12" w:history="1">
        <w:r w:rsidR="0015350A" w:rsidRPr="0015350A">
          <w:rPr>
            <w:rStyle w:val="Hyperlink"/>
            <w:rFonts w:ascii="Aptos" w:hAnsi="Aptos"/>
            <w:sz w:val="24"/>
            <w:szCs w:val="24"/>
          </w:rPr>
          <w:t>Local Growth Plan</w:t>
        </w:r>
      </w:hyperlink>
    </w:p>
    <w:p w14:paraId="3303C0D0" w14:textId="193385BC" w:rsidR="005000F9" w:rsidRPr="005000F9" w:rsidRDefault="005000F9" w:rsidP="005000F9">
      <w:pPr>
        <w:pStyle w:val="ListParagraph"/>
        <w:numPr>
          <w:ilvl w:val="0"/>
          <w:numId w:val="8"/>
        </w:numPr>
        <w:contextualSpacing w:val="0"/>
        <w:jc w:val="both"/>
        <w:rPr>
          <w:rFonts w:ascii="Aptos" w:hAnsi="Aptos"/>
          <w:sz w:val="24"/>
          <w:szCs w:val="24"/>
        </w:rPr>
      </w:pPr>
      <w:r w:rsidRPr="005000F9">
        <w:rPr>
          <w:rFonts w:ascii="Aptos" w:hAnsi="Aptos"/>
          <w:sz w:val="24"/>
          <w:szCs w:val="24"/>
        </w:rPr>
        <w:t xml:space="preserve">North East 10 year strategy for offshore wind </w:t>
      </w:r>
      <w:r w:rsidR="007B708A">
        <w:rPr>
          <w:rFonts w:ascii="Aptos" w:hAnsi="Aptos"/>
          <w:sz w:val="24"/>
          <w:szCs w:val="24"/>
        </w:rPr>
        <w:t>(Energi Coast, North East MSA and Tees Valley CA)</w:t>
      </w:r>
      <w:r w:rsidRPr="005000F9">
        <w:rPr>
          <w:rFonts w:ascii="Aptos" w:hAnsi="Aptos"/>
          <w:sz w:val="24"/>
          <w:szCs w:val="24"/>
        </w:rPr>
        <w:t xml:space="preserve"> </w:t>
      </w:r>
      <w:r w:rsidR="00823A7C">
        <w:rPr>
          <w:rFonts w:ascii="Aptos" w:hAnsi="Aptos"/>
          <w:sz w:val="24"/>
          <w:szCs w:val="24"/>
        </w:rPr>
        <w:t>-</w:t>
      </w:r>
      <w:hyperlink r:id="rId13" w:history="1">
        <w:r w:rsidR="00823A7C" w:rsidRPr="00823A7C">
          <w:rPr>
            <w:rStyle w:val="Hyperlink"/>
            <w:rFonts w:ascii="Aptos" w:hAnsi="Aptos"/>
            <w:sz w:val="24"/>
            <w:szCs w:val="24"/>
          </w:rPr>
          <w:t>10 Year Vision and Strategy for North East England Offshore Wind</w:t>
        </w:r>
      </w:hyperlink>
    </w:p>
    <w:p w14:paraId="3208B36B" w14:textId="2E733B05" w:rsidR="005000F9" w:rsidRPr="005000F9" w:rsidRDefault="00740B82" w:rsidP="005000F9">
      <w:pPr>
        <w:pStyle w:val="ListParagraph"/>
        <w:numPr>
          <w:ilvl w:val="0"/>
          <w:numId w:val="8"/>
        </w:numPr>
        <w:contextualSpacing w:val="0"/>
        <w:jc w:val="both"/>
        <w:rPr>
          <w:rFonts w:ascii="Aptos" w:hAnsi="Aptos"/>
          <w:sz w:val="24"/>
          <w:szCs w:val="24"/>
        </w:rPr>
      </w:pPr>
      <w:r>
        <w:rPr>
          <w:rFonts w:ascii="Aptos" w:hAnsi="Aptos"/>
          <w:sz w:val="24"/>
          <w:szCs w:val="24"/>
        </w:rPr>
        <w:t xml:space="preserve">UK Modern </w:t>
      </w:r>
      <w:r w:rsidR="005000F9" w:rsidRPr="005000F9">
        <w:rPr>
          <w:rFonts w:ascii="Aptos" w:hAnsi="Aptos"/>
          <w:sz w:val="24"/>
          <w:szCs w:val="24"/>
        </w:rPr>
        <w:t>Industrial Strategy</w:t>
      </w:r>
      <w:r w:rsidR="00823A7C">
        <w:rPr>
          <w:rFonts w:ascii="Aptos" w:hAnsi="Aptos"/>
          <w:sz w:val="24"/>
          <w:szCs w:val="24"/>
        </w:rPr>
        <w:t>-</w:t>
      </w:r>
      <w:hyperlink r:id="rId14" w:history="1">
        <w:r w:rsidR="00AE6303" w:rsidRPr="00AE6303">
          <w:rPr>
            <w:rStyle w:val="Hyperlink"/>
            <w:rFonts w:ascii="Aptos" w:hAnsi="Aptos"/>
            <w:sz w:val="24"/>
            <w:szCs w:val="24"/>
          </w:rPr>
          <w:t>Clean Energy Industries Sector Plan - GOV.UK</w:t>
        </w:r>
      </w:hyperlink>
    </w:p>
    <w:p w14:paraId="6F359C46" w14:textId="6632E922" w:rsidR="13314062" w:rsidRPr="0059443D" w:rsidRDefault="000204A0" w:rsidP="16704795">
      <w:pPr>
        <w:pStyle w:val="ListParagraph"/>
        <w:numPr>
          <w:ilvl w:val="0"/>
          <w:numId w:val="8"/>
        </w:numPr>
        <w:contextualSpacing w:val="0"/>
        <w:jc w:val="both"/>
        <w:rPr>
          <w:rFonts w:ascii="Aptos" w:hAnsi="Aptos"/>
          <w:sz w:val="24"/>
          <w:szCs w:val="24"/>
        </w:rPr>
      </w:pPr>
      <w:r>
        <w:rPr>
          <w:rFonts w:ascii="Aptos" w:hAnsi="Aptos"/>
          <w:sz w:val="24"/>
          <w:szCs w:val="24"/>
        </w:rPr>
        <w:t xml:space="preserve">UK </w:t>
      </w:r>
      <w:r w:rsidR="005000F9" w:rsidRPr="3119CF4B">
        <w:rPr>
          <w:rFonts w:ascii="Aptos" w:hAnsi="Aptos"/>
          <w:sz w:val="24"/>
          <w:szCs w:val="24"/>
        </w:rPr>
        <w:t>Offshore Wind Industrial Growth Plan</w:t>
      </w:r>
      <w:r w:rsidR="00FE1EFF">
        <w:rPr>
          <w:rFonts w:ascii="Aptos" w:hAnsi="Aptos"/>
          <w:sz w:val="24"/>
          <w:szCs w:val="24"/>
        </w:rPr>
        <w:t>-</w:t>
      </w:r>
      <w:r w:rsidR="00FE1EFF" w:rsidRPr="00FE1EFF">
        <w:t xml:space="preserve"> </w:t>
      </w:r>
      <w:hyperlink r:id="rId15" w:history="1">
        <w:r w:rsidR="00FE1EFF" w:rsidRPr="00FE1EFF">
          <w:rPr>
            <w:rStyle w:val="Hyperlink"/>
            <w:rFonts w:ascii="Aptos" w:hAnsi="Aptos"/>
            <w:sz w:val="24"/>
            <w:szCs w:val="24"/>
          </w:rPr>
          <w:t>Offshore Wind Industrial Growth Plan - 2024</w:t>
        </w:r>
      </w:hyperlink>
    </w:p>
    <w:sectPr w:rsidR="13314062" w:rsidRPr="0059443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F322" w14:textId="77777777" w:rsidR="0032082B" w:rsidRDefault="0032082B" w:rsidP="00382D89">
      <w:r>
        <w:separator/>
      </w:r>
    </w:p>
  </w:endnote>
  <w:endnote w:type="continuationSeparator" w:id="0">
    <w:p w14:paraId="4FA9BB80" w14:textId="77777777" w:rsidR="0032082B" w:rsidRDefault="0032082B" w:rsidP="0038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Arial">
    <w:altName w:val="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73BD" w14:textId="404BE045" w:rsidR="00C12D18" w:rsidRDefault="00C12D18">
    <w:pPr>
      <w:pStyle w:val="Footer"/>
    </w:pPr>
  </w:p>
  <w:p w14:paraId="0362EC3A" w14:textId="727E77EC" w:rsidR="00382D89" w:rsidRDefault="00C12D18">
    <w:pPr>
      <w:pStyle w:val="Footer"/>
    </w:pPr>
    <w:r>
      <w:rPr>
        <w:noProof/>
      </w:rPr>
      <w:drawing>
        <wp:inline distT="0" distB="0" distL="0" distR="0" wp14:anchorId="78CB9CC1" wp14:editId="7885D827">
          <wp:extent cx="5731510" cy="607342"/>
          <wp:effectExtent l="0" t="0" r="2540" b="2540"/>
          <wp:docPr id="6914128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12845" name="Picture 691412845"/>
                  <pic:cNvPicPr/>
                </pic:nvPicPr>
                <pic:blipFill>
                  <a:blip r:embed="rId1">
                    <a:extLst>
                      <a:ext uri="{28A0092B-C50C-407E-A947-70E740481C1C}">
                        <a14:useLocalDpi xmlns:a14="http://schemas.microsoft.com/office/drawing/2010/main" val="0"/>
                      </a:ext>
                    </a:extLst>
                  </a:blip>
                  <a:stretch>
                    <a:fillRect/>
                  </a:stretch>
                </pic:blipFill>
                <pic:spPr>
                  <a:xfrm>
                    <a:off x="0" y="0"/>
                    <a:ext cx="5731510" cy="6073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27E3" w14:textId="77777777" w:rsidR="0032082B" w:rsidRDefault="0032082B" w:rsidP="00382D89">
      <w:r>
        <w:separator/>
      </w:r>
    </w:p>
  </w:footnote>
  <w:footnote w:type="continuationSeparator" w:id="0">
    <w:p w14:paraId="354A9E7D" w14:textId="77777777" w:rsidR="0032082B" w:rsidRDefault="0032082B" w:rsidP="00382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0B63" w14:textId="54F341B3" w:rsidR="006F7DD9" w:rsidRDefault="00A31402">
    <w:pPr>
      <w:pStyle w:val="Header"/>
    </w:pPr>
    <w:r>
      <w:rPr>
        <w:noProof/>
      </w:rPr>
      <w:drawing>
        <wp:inline distT="0" distB="0" distL="0" distR="0" wp14:anchorId="132C5FE6" wp14:editId="6D132AEF">
          <wp:extent cx="2476883" cy="450866"/>
          <wp:effectExtent l="0" t="0" r="0" b="6350"/>
          <wp:docPr id="1272718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7634" cy="489229"/>
                  </a:xfrm>
                  <a:prstGeom prst="rect">
                    <a:avLst/>
                  </a:prstGeom>
                  <a:noFill/>
                  <a:ln>
                    <a:noFill/>
                  </a:ln>
                </pic:spPr>
              </pic:pic>
            </a:graphicData>
          </a:graphic>
        </wp:inline>
      </w:drawing>
    </w:r>
  </w:p>
  <w:p w14:paraId="5AEC45D3" w14:textId="1D067489" w:rsidR="00382D89" w:rsidRDefault="00382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A001E"/>
    <w:multiLevelType w:val="hybridMultilevel"/>
    <w:tmpl w:val="41245936"/>
    <w:lvl w:ilvl="0" w:tplc="BF26B4C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B2285"/>
    <w:multiLevelType w:val="multilevel"/>
    <w:tmpl w:val="E2AA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4DB32"/>
    <w:multiLevelType w:val="hybridMultilevel"/>
    <w:tmpl w:val="FFFFFFFF"/>
    <w:lvl w:ilvl="0" w:tplc="738C3D96">
      <w:start w:val="1"/>
      <w:numFmt w:val="decimal"/>
      <w:lvlText w:val="•"/>
      <w:lvlJc w:val="left"/>
      <w:pPr>
        <w:ind w:left="720" w:hanging="360"/>
      </w:pPr>
      <w:rPr>
        <w:rFonts w:ascii="Aptos,Arial" w:hAnsi="Aptos,Arial" w:hint="default"/>
      </w:rPr>
    </w:lvl>
    <w:lvl w:ilvl="1" w:tplc="F3D264D2">
      <w:start w:val="1"/>
      <w:numFmt w:val="lowerLetter"/>
      <w:lvlText w:val="%2."/>
      <w:lvlJc w:val="left"/>
      <w:pPr>
        <w:ind w:left="1440" w:hanging="360"/>
      </w:pPr>
    </w:lvl>
    <w:lvl w:ilvl="2" w:tplc="541411EC">
      <w:start w:val="1"/>
      <w:numFmt w:val="lowerRoman"/>
      <w:lvlText w:val="%3."/>
      <w:lvlJc w:val="right"/>
      <w:pPr>
        <w:ind w:left="2160" w:hanging="180"/>
      </w:pPr>
    </w:lvl>
    <w:lvl w:ilvl="3" w:tplc="DCBCAAB4">
      <w:start w:val="1"/>
      <w:numFmt w:val="decimal"/>
      <w:lvlText w:val="%4."/>
      <w:lvlJc w:val="left"/>
      <w:pPr>
        <w:ind w:left="2880" w:hanging="360"/>
      </w:pPr>
    </w:lvl>
    <w:lvl w:ilvl="4" w:tplc="651C3FDA">
      <w:start w:val="1"/>
      <w:numFmt w:val="lowerLetter"/>
      <w:lvlText w:val="%5."/>
      <w:lvlJc w:val="left"/>
      <w:pPr>
        <w:ind w:left="3600" w:hanging="360"/>
      </w:pPr>
    </w:lvl>
    <w:lvl w:ilvl="5" w:tplc="FD16B774">
      <w:start w:val="1"/>
      <w:numFmt w:val="lowerRoman"/>
      <w:lvlText w:val="%6."/>
      <w:lvlJc w:val="right"/>
      <w:pPr>
        <w:ind w:left="4320" w:hanging="180"/>
      </w:pPr>
    </w:lvl>
    <w:lvl w:ilvl="6" w:tplc="7D8004C8">
      <w:start w:val="1"/>
      <w:numFmt w:val="decimal"/>
      <w:lvlText w:val="%7."/>
      <w:lvlJc w:val="left"/>
      <w:pPr>
        <w:ind w:left="5040" w:hanging="360"/>
      </w:pPr>
    </w:lvl>
    <w:lvl w:ilvl="7" w:tplc="D17E502C">
      <w:start w:val="1"/>
      <w:numFmt w:val="lowerLetter"/>
      <w:lvlText w:val="%8."/>
      <w:lvlJc w:val="left"/>
      <w:pPr>
        <w:ind w:left="5760" w:hanging="360"/>
      </w:pPr>
    </w:lvl>
    <w:lvl w:ilvl="8" w:tplc="3F2244C4">
      <w:start w:val="1"/>
      <w:numFmt w:val="lowerRoman"/>
      <w:lvlText w:val="%9."/>
      <w:lvlJc w:val="right"/>
      <w:pPr>
        <w:ind w:left="6480" w:hanging="180"/>
      </w:pPr>
    </w:lvl>
  </w:abstractNum>
  <w:abstractNum w:abstractNumId="3" w15:restartNumberingAfterBreak="0">
    <w:nsid w:val="2C917C8E"/>
    <w:multiLevelType w:val="hybridMultilevel"/>
    <w:tmpl w:val="1A50F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C6F218"/>
    <w:multiLevelType w:val="hybridMultilevel"/>
    <w:tmpl w:val="D3642F4E"/>
    <w:lvl w:ilvl="0" w:tplc="17DA8258">
      <w:start w:val="1"/>
      <w:numFmt w:val="bullet"/>
      <w:lvlText w:val=""/>
      <w:lvlJc w:val="left"/>
      <w:pPr>
        <w:ind w:left="720" w:hanging="360"/>
      </w:pPr>
      <w:rPr>
        <w:rFonts w:ascii="Symbol" w:hAnsi="Symbol" w:hint="default"/>
      </w:rPr>
    </w:lvl>
    <w:lvl w:ilvl="1" w:tplc="EBCEE7C8">
      <w:start w:val="1"/>
      <w:numFmt w:val="bullet"/>
      <w:lvlText w:val="o"/>
      <w:lvlJc w:val="left"/>
      <w:pPr>
        <w:ind w:left="1440" w:hanging="360"/>
      </w:pPr>
      <w:rPr>
        <w:rFonts w:ascii="Courier New" w:hAnsi="Courier New" w:hint="default"/>
      </w:rPr>
    </w:lvl>
    <w:lvl w:ilvl="2" w:tplc="76727D80">
      <w:start w:val="1"/>
      <w:numFmt w:val="bullet"/>
      <w:lvlText w:val=""/>
      <w:lvlJc w:val="left"/>
      <w:pPr>
        <w:ind w:left="2160" w:hanging="360"/>
      </w:pPr>
      <w:rPr>
        <w:rFonts w:ascii="Wingdings" w:hAnsi="Wingdings" w:hint="default"/>
      </w:rPr>
    </w:lvl>
    <w:lvl w:ilvl="3" w:tplc="1B80531E">
      <w:start w:val="1"/>
      <w:numFmt w:val="bullet"/>
      <w:lvlText w:val=""/>
      <w:lvlJc w:val="left"/>
      <w:pPr>
        <w:ind w:left="2880" w:hanging="360"/>
      </w:pPr>
      <w:rPr>
        <w:rFonts w:ascii="Symbol" w:hAnsi="Symbol" w:hint="default"/>
      </w:rPr>
    </w:lvl>
    <w:lvl w:ilvl="4" w:tplc="0C4C249A">
      <w:start w:val="1"/>
      <w:numFmt w:val="bullet"/>
      <w:lvlText w:val="o"/>
      <w:lvlJc w:val="left"/>
      <w:pPr>
        <w:ind w:left="3600" w:hanging="360"/>
      </w:pPr>
      <w:rPr>
        <w:rFonts w:ascii="Courier New" w:hAnsi="Courier New" w:hint="default"/>
      </w:rPr>
    </w:lvl>
    <w:lvl w:ilvl="5" w:tplc="9DB6E5A0">
      <w:start w:val="1"/>
      <w:numFmt w:val="bullet"/>
      <w:lvlText w:val=""/>
      <w:lvlJc w:val="left"/>
      <w:pPr>
        <w:ind w:left="4320" w:hanging="360"/>
      </w:pPr>
      <w:rPr>
        <w:rFonts w:ascii="Wingdings" w:hAnsi="Wingdings" w:hint="default"/>
      </w:rPr>
    </w:lvl>
    <w:lvl w:ilvl="6" w:tplc="CF2C7C64">
      <w:start w:val="1"/>
      <w:numFmt w:val="bullet"/>
      <w:lvlText w:val=""/>
      <w:lvlJc w:val="left"/>
      <w:pPr>
        <w:ind w:left="5040" w:hanging="360"/>
      </w:pPr>
      <w:rPr>
        <w:rFonts w:ascii="Symbol" w:hAnsi="Symbol" w:hint="default"/>
      </w:rPr>
    </w:lvl>
    <w:lvl w:ilvl="7" w:tplc="7A6AAE10">
      <w:start w:val="1"/>
      <w:numFmt w:val="bullet"/>
      <w:lvlText w:val="o"/>
      <w:lvlJc w:val="left"/>
      <w:pPr>
        <w:ind w:left="5760" w:hanging="360"/>
      </w:pPr>
      <w:rPr>
        <w:rFonts w:ascii="Courier New" w:hAnsi="Courier New" w:hint="default"/>
      </w:rPr>
    </w:lvl>
    <w:lvl w:ilvl="8" w:tplc="472A714E">
      <w:start w:val="1"/>
      <w:numFmt w:val="bullet"/>
      <w:lvlText w:val=""/>
      <w:lvlJc w:val="left"/>
      <w:pPr>
        <w:ind w:left="6480" w:hanging="360"/>
      </w:pPr>
      <w:rPr>
        <w:rFonts w:ascii="Wingdings" w:hAnsi="Wingdings" w:hint="default"/>
      </w:rPr>
    </w:lvl>
  </w:abstractNum>
  <w:abstractNum w:abstractNumId="5" w15:restartNumberingAfterBreak="0">
    <w:nsid w:val="39F28F98"/>
    <w:multiLevelType w:val="hybridMultilevel"/>
    <w:tmpl w:val="6AB2A0FA"/>
    <w:lvl w:ilvl="0" w:tplc="1F043A76">
      <w:start w:val="1"/>
      <w:numFmt w:val="bullet"/>
      <w:lvlText w:val=""/>
      <w:lvlJc w:val="left"/>
      <w:pPr>
        <w:ind w:left="720" w:hanging="360"/>
      </w:pPr>
      <w:rPr>
        <w:rFonts w:ascii="Symbol" w:hAnsi="Symbol" w:hint="default"/>
      </w:rPr>
    </w:lvl>
    <w:lvl w:ilvl="1" w:tplc="2390CC40">
      <w:start w:val="1"/>
      <w:numFmt w:val="bullet"/>
      <w:lvlText w:val="o"/>
      <w:lvlJc w:val="left"/>
      <w:pPr>
        <w:ind w:left="1440" w:hanging="360"/>
      </w:pPr>
      <w:rPr>
        <w:rFonts w:ascii="Courier New" w:hAnsi="Courier New" w:hint="default"/>
      </w:rPr>
    </w:lvl>
    <w:lvl w:ilvl="2" w:tplc="4EDA5F38">
      <w:start w:val="1"/>
      <w:numFmt w:val="bullet"/>
      <w:lvlText w:val=""/>
      <w:lvlJc w:val="left"/>
      <w:pPr>
        <w:ind w:left="2160" w:hanging="360"/>
      </w:pPr>
      <w:rPr>
        <w:rFonts w:ascii="Wingdings" w:hAnsi="Wingdings" w:hint="default"/>
      </w:rPr>
    </w:lvl>
    <w:lvl w:ilvl="3" w:tplc="53CE799C">
      <w:start w:val="1"/>
      <w:numFmt w:val="bullet"/>
      <w:lvlText w:val=""/>
      <w:lvlJc w:val="left"/>
      <w:pPr>
        <w:ind w:left="2880" w:hanging="360"/>
      </w:pPr>
      <w:rPr>
        <w:rFonts w:ascii="Symbol" w:hAnsi="Symbol" w:hint="default"/>
      </w:rPr>
    </w:lvl>
    <w:lvl w:ilvl="4" w:tplc="BBB82D1A">
      <w:start w:val="1"/>
      <w:numFmt w:val="bullet"/>
      <w:lvlText w:val="o"/>
      <w:lvlJc w:val="left"/>
      <w:pPr>
        <w:ind w:left="3600" w:hanging="360"/>
      </w:pPr>
      <w:rPr>
        <w:rFonts w:ascii="Courier New" w:hAnsi="Courier New" w:hint="default"/>
      </w:rPr>
    </w:lvl>
    <w:lvl w:ilvl="5" w:tplc="CE3A2268">
      <w:start w:val="1"/>
      <w:numFmt w:val="bullet"/>
      <w:lvlText w:val=""/>
      <w:lvlJc w:val="left"/>
      <w:pPr>
        <w:ind w:left="4320" w:hanging="360"/>
      </w:pPr>
      <w:rPr>
        <w:rFonts w:ascii="Wingdings" w:hAnsi="Wingdings" w:hint="default"/>
      </w:rPr>
    </w:lvl>
    <w:lvl w:ilvl="6" w:tplc="7362F370">
      <w:start w:val="1"/>
      <w:numFmt w:val="bullet"/>
      <w:lvlText w:val=""/>
      <w:lvlJc w:val="left"/>
      <w:pPr>
        <w:ind w:left="5040" w:hanging="360"/>
      </w:pPr>
      <w:rPr>
        <w:rFonts w:ascii="Symbol" w:hAnsi="Symbol" w:hint="default"/>
      </w:rPr>
    </w:lvl>
    <w:lvl w:ilvl="7" w:tplc="A77269EC">
      <w:start w:val="1"/>
      <w:numFmt w:val="bullet"/>
      <w:lvlText w:val="o"/>
      <w:lvlJc w:val="left"/>
      <w:pPr>
        <w:ind w:left="5760" w:hanging="360"/>
      </w:pPr>
      <w:rPr>
        <w:rFonts w:ascii="Courier New" w:hAnsi="Courier New" w:hint="default"/>
      </w:rPr>
    </w:lvl>
    <w:lvl w:ilvl="8" w:tplc="01BCEB22">
      <w:start w:val="1"/>
      <w:numFmt w:val="bullet"/>
      <w:lvlText w:val=""/>
      <w:lvlJc w:val="left"/>
      <w:pPr>
        <w:ind w:left="6480" w:hanging="360"/>
      </w:pPr>
      <w:rPr>
        <w:rFonts w:ascii="Wingdings" w:hAnsi="Wingdings" w:hint="default"/>
      </w:rPr>
    </w:lvl>
  </w:abstractNum>
  <w:abstractNum w:abstractNumId="6" w15:restartNumberingAfterBreak="0">
    <w:nsid w:val="43945768"/>
    <w:multiLevelType w:val="hybridMultilevel"/>
    <w:tmpl w:val="0FC4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6520B"/>
    <w:multiLevelType w:val="hybridMultilevel"/>
    <w:tmpl w:val="298EABA8"/>
    <w:lvl w:ilvl="0" w:tplc="BF26B4C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42A25"/>
    <w:multiLevelType w:val="hybridMultilevel"/>
    <w:tmpl w:val="0952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57FC6"/>
    <w:multiLevelType w:val="multilevel"/>
    <w:tmpl w:val="29F8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6463888">
    <w:abstractNumId w:val="4"/>
  </w:num>
  <w:num w:numId="2" w16cid:durableId="338312042">
    <w:abstractNumId w:val="5"/>
  </w:num>
  <w:num w:numId="3" w16cid:durableId="941956551">
    <w:abstractNumId w:val="7"/>
  </w:num>
  <w:num w:numId="4" w16cid:durableId="1869027223">
    <w:abstractNumId w:val="3"/>
  </w:num>
  <w:num w:numId="5" w16cid:durableId="1645157087">
    <w:abstractNumId w:val="0"/>
  </w:num>
  <w:num w:numId="6" w16cid:durableId="399644678">
    <w:abstractNumId w:val="1"/>
  </w:num>
  <w:num w:numId="7" w16cid:durableId="1785806671">
    <w:abstractNumId w:val="9"/>
  </w:num>
  <w:num w:numId="8" w16cid:durableId="1010569118">
    <w:abstractNumId w:val="6"/>
  </w:num>
  <w:num w:numId="9" w16cid:durableId="831944740">
    <w:abstractNumId w:val="8"/>
  </w:num>
  <w:num w:numId="10" w16cid:durableId="666515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F9"/>
    <w:rsid w:val="000048DA"/>
    <w:rsid w:val="000122C6"/>
    <w:rsid w:val="00014776"/>
    <w:rsid w:val="000204A0"/>
    <w:rsid w:val="00022478"/>
    <w:rsid w:val="0002442C"/>
    <w:rsid w:val="000367CC"/>
    <w:rsid w:val="00037B53"/>
    <w:rsid w:val="00066D58"/>
    <w:rsid w:val="00075DF7"/>
    <w:rsid w:val="00083D78"/>
    <w:rsid w:val="00085E9E"/>
    <w:rsid w:val="000B3A56"/>
    <w:rsid w:val="000B67E8"/>
    <w:rsid w:val="000C081F"/>
    <w:rsid w:val="000C53DC"/>
    <w:rsid w:val="000D05A4"/>
    <w:rsid w:val="000D2766"/>
    <w:rsid w:val="000D681F"/>
    <w:rsid w:val="000F60AA"/>
    <w:rsid w:val="001018C0"/>
    <w:rsid w:val="00123105"/>
    <w:rsid w:val="00125103"/>
    <w:rsid w:val="00125E1F"/>
    <w:rsid w:val="00142B31"/>
    <w:rsid w:val="001436F3"/>
    <w:rsid w:val="00151ED8"/>
    <w:rsid w:val="0015350A"/>
    <w:rsid w:val="0018376B"/>
    <w:rsid w:val="00186AB5"/>
    <w:rsid w:val="00190B74"/>
    <w:rsid w:val="001A2037"/>
    <w:rsid w:val="001B2F7D"/>
    <w:rsid w:val="001B5E57"/>
    <w:rsid w:val="001B75B0"/>
    <w:rsid w:val="001C0965"/>
    <w:rsid w:val="001C4A66"/>
    <w:rsid w:val="001F2DD0"/>
    <w:rsid w:val="002220E0"/>
    <w:rsid w:val="00225FD1"/>
    <w:rsid w:val="002523F7"/>
    <w:rsid w:val="0025356C"/>
    <w:rsid w:val="002674AB"/>
    <w:rsid w:val="00270C3E"/>
    <w:rsid w:val="00272EAA"/>
    <w:rsid w:val="00274FC8"/>
    <w:rsid w:val="002B133D"/>
    <w:rsid w:val="002C60CF"/>
    <w:rsid w:val="002F6D58"/>
    <w:rsid w:val="0032082B"/>
    <w:rsid w:val="003263F0"/>
    <w:rsid w:val="00331522"/>
    <w:rsid w:val="003349AF"/>
    <w:rsid w:val="00343BD2"/>
    <w:rsid w:val="003557C1"/>
    <w:rsid w:val="003578F5"/>
    <w:rsid w:val="00364800"/>
    <w:rsid w:val="003654DC"/>
    <w:rsid w:val="00370ADD"/>
    <w:rsid w:val="00372098"/>
    <w:rsid w:val="00372B7D"/>
    <w:rsid w:val="00382D89"/>
    <w:rsid w:val="003B1980"/>
    <w:rsid w:val="003E701C"/>
    <w:rsid w:val="003F4593"/>
    <w:rsid w:val="003F7DE7"/>
    <w:rsid w:val="00407131"/>
    <w:rsid w:val="00421990"/>
    <w:rsid w:val="0042237F"/>
    <w:rsid w:val="00424634"/>
    <w:rsid w:val="004257A8"/>
    <w:rsid w:val="004330E4"/>
    <w:rsid w:val="00434A4B"/>
    <w:rsid w:val="0044276A"/>
    <w:rsid w:val="00460C54"/>
    <w:rsid w:val="00463CC4"/>
    <w:rsid w:val="00465358"/>
    <w:rsid w:val="004770DC"/>
    <w:rsid w:val="004839D4"/>
    <w:rsid w:val="00485743"/>
    <w:rsid w:val="0048581B"/>
    <w:rsid w:val="004A7EBE"/>
    <w:rsid w:val="004B081B"/>
    <w:rsid w:val="004D0859"/>
    <w:rsid w:val="004E56AC"/>
    <w:rsid w:val="004F661A"/>
    <w:rsid w:val="004F71DB"/>
    <w:rsid w:val="005000F9"/>
    <w:rsid w:val="005040F6"/>
    <w:rsid w:val="005041EC"/>
    <w:rsid w:val="00511222"/>
    <w:rsid w:val="00511F4D"/>
    <w:rsid w:val="00512F6A"/>
    <w:rsid w:val="00523648"/>
    <w:rsid w:val="005334F2"/>
    <w:rsid w:val="00535402"/>
    <w:rsid w:val="005365BE"/>
    <w:rsid w:val="00547087"/>
    <w:rsid w:val="00557ACB"/>
    <w:rsid w:val="00557F34"/>
    <w:rsid w:val="00567A05"/>
    <w:rsid w:val="005708D6"/>
    <w:rsid w:val="00576AF6"/>
    <w:rsid w:val="0059443D"/>
    <w:rsid w:val="005964D6"/>
    <w:rsid w:val="005B79CB"/>
    <w:rsid w:val="005C26CA"/>
    <w:rsid w:val="006017C7"/>
    <w:rsid w:val="00605DA6"/>
    <w:rsid w:val="00610120"/>
    <w:rsid w:val="00611F65"/>
    <w:rsid w:val="006157C9"/>
    <w:rsid w:val="00624B53"/>
    <w:rsid w:val="00666972"/>
    <w:rsid w:val="00672CC8"/>
    <w:rsid w:val="006774F0"/>
    <w:rsid w:val="00681C71"/>
    <w:rsid w:val="00692E4C"/>
    <w:rsid w:val="006A3264"/>
    <w:rsid w:val="006B69C8"/>
    <w:rsid w:val="006C0F26"/>
    <w:rsid w:val="006C5AD7"/>
    <w:rsid w:val="006C6432"/>
    <w:rsid w:val="006D0AA5"/>
    <w:rsid w:val="006E2B8C"/>
    <w:rsid w:val="006E32E5"/>
    <w:rsid w:val="006E57DF"/>
    <w:rsid w:val="006F7DD9"/>
    <w:rsid w:val="007127F0"/>
    <w:rsid w:val="0071634F"/>
    <w:rsid w:val="007179B8"/>
    <w:rsid w:val="00740B82"/>
    <w:rsid w:val="00754DA1"/>
    <w:rsid w:val="00756641"/>
    <w:rsid w:val="007758AE"/>
    <w:rsid w:val="00793AB9"/>
    <w:rsid w:val="007970F2"/>
    <w:rsid w:val="007A5AA8"/>
    <w:rsid w:val="007B197F"/>
    <w:rsid w:val="007B6162"/>
    <w:rsid w:val="007B708A"/>
    <w:rsid w:val="007C3151"/>
    <w:rsid w:val="007C6E2A"/>
    <w:rsid w:val="007E3BE3"/>
    <w:rsid w:val="007E60A6"/>
    <w:rsid w:val="007F4839"/>
    <w:rsid w:val="007F72C3"/>
    <w:rsid w:val="00815DE0"/>
    <w:rsid w:val="008176C6"/>
    <w:rsid w:val="00823A7C"/>
    <w:rsid w:val="00830B28"/>
    <w:rsid w:val="0083130C"/>
    <w:rsid w:val="0085416A"/>
    <w:rsid w:val="0086178E"/>
    <w:rsid w:val="00861A69"/>
    <w:rsid w:val="008644FB"/>
    <w:rsid w:val="00873E92"/>
    <w:rsid w:val="00877126"/>
    <w:rsid w:val="008860D2"/>
    <w:rsid w:val="008B0382"/>
    <w:rsid w:val="008B76F7"/>
    <w:rsid w:val="008D4E15"/>
    <w:rsid w:val="008F5263"/>
    <w:rsid w:val="00900772"/>
    <w:rsid w:val="009063E2"/>
    <w:rsid w:val="00911BDC"/>
    <w:rsid w:val="009172C9"/>
    <w:rsid w:val="0092491F"/>
    <w:rsid w:val="0092711F"/>
    <w:rsid w:val="00933194"/>
    <w:rsid w:val="0094540B"/>
    <w:rsid w:val="009504E2"/>
    <w:rsid w:val="0095192A"/>
    <w:rsid w:val="0097188C"/>
    <w:rsid w:val="00972A01"/>
    <w:rsid w:val="00981089"/>
    <w:rsid w:val="00991BE7"/>
    <w:rsid w:val="009A19E0"/>
    <w:rsid w:val="009A36AB"/>
    <w:rsid w:val="009A3E19"/>
    <w:rsid w:val="009A4913"/>
    <w:rsid w:val="009A4F9D"/>
    <w:rsid w:val="009A6AF6"/>
    <w:rsid w:val="009C22A3"/>
    <w:rsid w:val="009C6531"/>
    <w:rsid w:val="009D6182"/>
    <w:rsid w:val="009E436C"/>
    <w:rsid w:val="00A011B4"/>
    <w:rsid w:val="00A22CED"/>
    <w:rsid w:val="00A31402"/>
    <w:rsid w:val="00A412D1"/>
    <w:rsid w:val="00A434D0"/>
    <w:rsid w:val="00A65A0C"/>
    <w:rsid w:val="00A65BB2"/>
    <w:rsid w:val="00A66FC9"/>
    <w:rsid w:val="00A74F80"/>
    <w:rsid w:val="00A75A94"/>
    <w:rsid w:val="00AA5137"/>
    <w:rsid w:val="00AB78BD"/>
    <w:rsid w:val="00AE1073"/>
    <w:rsid w:val="00AE4327"/>
    <w:rsid w:val="00AE6303"/>
    <w:rsid w:val="00B0186E"/>
    <w:rsid w:val="00B04DA5"/>
    <w:rsid w:val="00B2015F"/>
    <w:rsid w:val="00B20333"/>
    <w:rsid w:val="00B2349A"/>
    <w:rsid w:val="00B245A3"/>
    <w:rsid w:val="00B3709E"/>
    <w:rsid w:val="00B57EE3"/>
    <w:rsid w:val="00B74E25"/>
    <w:rsid w:val="00B76A9B"/>
    <w:rsid w:val="00BC6C52"/>
    <w:rsid w:val="00C05B5D"/>
    <w:rsid w:val="00C12D18"/>
    <w:rsid w:val="00C14C71"/>
    <w:rsid w:val="00C2197E"/>
    <w:rsid w:val="00C26961"/>
    <w:rsid w:val="00C44F9F"/>
    <w:rsid w:val="00C66F90"/>
    <w:rsid w:val="00C71568"/>
    <w:rsid w:val="00C72BAB"/>
    <w:rsid w:val="00C7460C"/>
    <w:rsid w:val="00C8537E"/>
    <w:rsid w:val="00C871FD"/>
    <w:rsid w:val="00CB1093"/>
    <w:rsid w:val="00CB39BC"/>
    <w:rsid w:val="00CD38E1"/>
    <w:rsid w:val="00CD778B"/>
    <w:rsid w:val="00CE382D"/>
    <w:rsid w:val="00CE79A6"/>
    <w:rsid w:val="00CF02D9"/>
    <w:rsid w:val="00CF0C02"/>
    <w:rsid w:val="00CF247C"/>
    <w:rsid w:val="00D00CCE"/>
    <w:rsid w:val="00D049D5"/>
    <w:rsid w:val="00D04A02"/>
    <w:rsid w:val="00D229A1"/>
    <w:rsid w:val="00D25D82"/>
    <w:rsid w:val="00D405F8"/>
    <w:rsid w:val="00D41046"/>
    <w:rsid w:val="00D5086E"/>
    <w:rsid w:val="00D67AD0"/>
    <w:rsid w:val="00D710AE"/>
    <w:rsid w:val="00D72430"/>
    <w:rsid w:val="00D77453"/>
    <w:rsid w:val="00D93D98"/>
    <w:rsid w:val="00D9739F"/>
    <w:rsid w:val="00DA146F"/>
    <w:rsid w:val="00DA30FC"/>
    <w:rsid w:val="00DB397C"/>
    <w:rsid w:val="00DB533B"/>
    <w:rsid w:val="00DD1711"/>
    <w:rsid w:val="00DD1949"/>
    <w:rsid w:val="00DD5F70"/>
    <w:rsid w:val="00DF1562"/>
    <w:rsid w:val="00DF75A0"/>
    <w:rsid w:val="00E05ED7"/>
    <w:rsid w:val="00E079CC"/>
    <w:rsid w:val="00E473A2"/>
    <w:rsid w:val="00E52970"/>
    <w:rsid w:val="00E555FA"/>
    <w:rsid w:val="00E567F6"/>
    <w:rsid w:val="00E60A81"/>
    <w:rsid w:val="00E66B3D"/>
    <w:rsid w:val="00E67000"/>
    <w:rsid w:val="00E70BB2"/>
    <w:rsid w:val="00E756CF"/>
    <w:rsid w:val="00E83DE8"/>
    <w:rsid w:val="00EA6AA3"/>
    <w:rsid w:val="00EC0D38"/>
    <w:rsid w:val="00EC4A32"/>
    <w:rsid w:val="00EC5B99"/>
    <w:rsid w:val="00ED223A"/>
    <w:rsid w:val="00EE06FD"/>
    <w:rsid w:val="00EF353F"/>
    <w:rsid w:val="00F01DF1"/>
    <w:rsid w:val="00F12F4C"/>
    <w:rsid w:val="00F16F85"/>
    <w:rsid w:val="00F242EB"/>
    <w:rsid w:val="00F34BE4"/>
    <w:rsid w:val="00F50C4C"/>
    <w:rsid w:val="00F5422A"/>
    <w:rsid w:val="00F62CA4"/>
    <w:rsid w:val="00F66FA2"/>
    <w:rsid w:val="00F71E23"/>
    <w:rsid w:val="00F7292E"/>
    <w:rsid w:val="00F83A36"/>
    <w:rsid w:val="00FA0262"/>
    <w:rsid w:val="00FB09CE"/>
    <w:rsid w:val="00FB6E8C"/>
    <w:rsid w:val="00FD2E75"/>
    <w:rsid w:val="00FE1EFF"/>
    <w:rsid w:val="00FE5527"/>
    <w:rsid w:val="00FF10FB"/>
    <w:rsid w:val="00FF5506"/>
    <w:rsid w:val="00FF7BAB"/>
    <w:rsid w:val="028295A5"/>
    <w:rsid w:val="03836370"/>
    <w:rsid w:val="041B2366"/>
    <w:rsid w:val="073733E7"/>
    <w:rsid w:val="0775E34F"/>
    <w:rsid w:val="079DA301"/>
    <w:rsid w:val="08C7297C"/>
    <w:rsid w:val="097E9A37"/>
    <w:rsid w:val="0A7C7CE7"/>
    <w:rsid w:val="0AEE37DD"/>
    <w:rsid w:val="0B9608F5"/>
    <w:rsid w:val="0C426F6F"/>
    <w:rsid w:val="0DFA4205"/>
    <w:rsid w:val="0EF38283"/>
    <w:rsid w:val="10A13E25"/>
    <w:rsid w:val="10D62E54"/>
    <w:rsid w:val="113468B7"/>
    <w:rsid w:val="11D46324"/>
    <w:rsid w:val="13314062"/>
    <w:rsid w:val="14125B52"/>
    <w:rsid w:val="16704795"/>
    <w:rsid w:val="17CB155B"/>
    <w:rsid w:val="1E09EB3F"/>
    <w:rsid w:val="1EA549E8"/>
    <w:rsid w:val="1F416977"/>
    <w:rsid w:val="20B9899D"/>
    <w:rsid w:val="2105F8B2"/>
    <w:rsid w:val="2176DADB"/>
    <w:rsid w:val="21821A87"/>
    <w:rsid w:val="2456D7F8"/>
    <w:rsid w:val="28D1986B"/>
    <w:rsid w:val="2955348A"/>
    <w:rsid w:val="29A98F4A"/>
    <w:rsid w:val="2A4B40A8"/>
    <w:rsid w:val="2A504DE1"/>
    <w:rsid w:val="2AC40A5F"/>
    <w:rsid w:val="2C0CA8AB"/>
    <w:rsid w:val="2DFBC401"/>
    <w:rsid w:val="30AA74BA"/>
    <w:rsid w:val="3119CF4B"/>
    <w:rsid w:val="34E28950"/>
    <w:rsid w:val="36743B26"/>
    <w:rsid w:val="3793D15B"/>
    <w:rsid w:val="37CBE62C"/>
    <w:rsid w:val="38AA6A03"/>
    <w:rsid w:val="3A3AFB03"/>
    <w:rsid w:val="3BB14D38"/>
    <w:rsid w:val="3C8AD85D"/>
    <w:rsid w:val="3CA62369"/>
    <w:rsid w:val="3D6F6059"/>
    <w:rsid w:val="3EE634CC"/>
    <w:rsid w:val="3F1E5453"/>
    <w:rsid w:val="3F88F959"/>
    <w:rsid w:val="3FDB03E0"/>
    <w:rsid w:val="424FA1B9"/>
    <w:rsid w:val="42FC988C"/>
    <w:rsid w:val="4343686F"/>
    <w:rsid w:val="439C280B"/>
    <w:rsid w:val="4520CE09"/>
    <w:rsid w:val="45769CE5"/>
    <w:rsid w:val="46046F18"/>
    <w:rsid w:val="49EB2824"/>
    <w:rsid w:val="4A3B140F"/>
    <w:rsid w:val="4AFCBD82"/>
    <w:rsid w:val="4FA94CD3"/>
    <w:rsid w:val="4FEAF06D"/>
    <w:rsid w:val="51486F09"/>
    <w:rsid w:val="522CECC8"/>
    <w:rsid w:val="5306E809"/>
    <w:rsid w:val="530C44D2"/>
    <w:rsid w:val="53124AE1"/>
    <w:rsid w:val="5426BF43"/>
    <w:rsid w:val="570135F0"/>
    <w:rsid w:val="5A0B182E"/>
    <w:rsid w:val="5B5C5D86"/>
    <w:rsid w:val="5D4DA1D7"/>
    <w:rsid w:val="5DFF06AA"/>
    <w:rsid w:val="5EE5327B"/>
    <w:rsid w:val="5EE803BD"/>
    <w:rsid w:val="60B2D8D3"/>
    <w:rsid w:val="64A8FE11"/>
    <w:rsid w:val="6585D296"/>
    <w:rsid w:val="65A9A7B3"/>
    <w:rsid w:val="65B77F54"/>
    <w:rsid w:val="67CAB079"/>
    <w:rsid w:val="67CD798D"/>
    <w:rsid w:val="680FF053"/>
    <w:rsid w:val="68867C0D"/>
    <w:rsid w:val="699815DC"/>
    <w:rsid w:val="69AE33C5"/>
    <w:rsid w:val="69D6E53F"/>
    <w:rsid w:val="6E213F3D"/>
    <w:rsid w:val="6FDA3B78"/>
    <w:rsid w:val="6FF04C5A"/>
    <w:rsid w:val="711C9582"/>
    <w:rsid w:val="742BB9F7"/>
    <w:rsid w:val="75B740D3"/>
    <w:rsid w:val="76C4E0B5"/>
    <w:rsid w:val="77B07B0D"/>
    <w:rsid w:val="78F7DBA1"/>
    <w:rsid w:val="7A60A068"/>
    <w:rsid w:val="7A85D15A"/>
    <w:rsid w:val="7C080BF5"/>
    <w:rsid w:val="7D9AA025"/>
    <w:rsid w:val="7DC9D13B"/>
    <w:rsid w:val="7E7CB218"/>
    <w:rsid w:val="7EA510A5"/>
    <w:rsid w:val="7FEC7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EB5F"/>
  <w15:chartTrackingRefBased/>
  <w15:docId w15:val="{5636ADCF-BEDE-4242-A654-D65331F7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F9"/>
    <w:pPr>
      <w:spacing w:after="0" w:line="240" w:lineRule="auto"/>
    </w:pPr>
    <w:rPr>
      <w:rFonts w:ascii="Batang" w:eastAsia="Batang" w:hAnsi="Batang" w:cs="Times New Roman"/>
      <w:kern w:val="0"/>
      <w:sz w:val="20"/>
      <w:szCs w:val="20"/>
      <w14:ligatures w14:val="none"/>
    </w:rPr>
  </w:style>
  <w:style w:type="paragraph" w:styleId="Heading1">
    <w:name w:val="heading 1"/>
    <w:basedOn w:val="Normal"/>
    <w:next w:val="Normal"/>
    <w:link w:val="Heading1Char"/>
    <w:uiPriority w:val="9"/>
    <w:qFormat/>
    <w:rsid w:val="00500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0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0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0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0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0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0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0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0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0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0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0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0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0F9"/>
    <w:rPr>
      <w:rFonts w:eastAsiaTheme="majorEastAsia" w:cstheme="majorBidi"/>
      <w:color w:val="272727" w:themeColor="text1" w:themeTint="D8"/>
    </w:rPr>
  </w:style>
  <w:style w:type="paragraph" w:styleId="Title">
    <w:name w:val="Title"/>
    <w:basedOn w:val="Normal"/>
    <w:next w:val="Normal"/>
    <w:link w:val="TitleChar"/>
    <w:uiPriority w:val="10"/>
    <w:qFormat/>
    <w:rsid w:val="005000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0F9"/>
    <w:pPr>
      <w:spacing w:before="160"/>
      <w:jc w:val="center"/>
    </w:pPr>
    <w:rPr>
      <w:i/>
      <w:iCs/>
      <w:color w:val="404040" w:themeColor="text1" w:themeTint="BF"/>
    </w:rPr>
  </w:style>
  <w:style w:type="character" w:customStyle="1" w:styleId="QuoteChar">
    <w:name w:val="Quote Char"/>
    <w:basedOn w:val="DefaultParagraphFont"/>
    <w:link w:val="Quote"/>
    <w:uiPriority w:val="29"/>
    <w:rsid w:val="005000F9"/>
    <w:rPr>
      <w:i/>
      <w:iCs/>
      <w:color w:val="404040" w:themeColor="text1" w:themeTint="BF"/>
    </w:rPr>
  </w:style>
  <w:style w:type="paragraph" w:styleId="ListParagraph">
    <w:name w:val="List Paragraph"/>
    <w:aliases w:val="F5 List Paragraph,List Paragraph1,List Paragraph11,Bullets,Dot pt,No Spacing1,List Paragraph Char Char Char,Indicator Text,Numbered Para 1,Bullet 1,Bullet Points,MAIN CONTENT,List Paragraph12,Bullet Style,Colorful List - Accent 11"/>
    <w:basedOn w:val="Normal"/>
    <w:link w:val="ListParagraphChar"/>
    <w:uiPriority w:val="34"/>
    <w:qFormat/>
    <w:rsid w:val="005000F9"/>
    <w:pPr>
      <w:ind w:left="720"/>
      <w:contextualSpacing/>
    </w:pPr>
  </w:style>
  <w:style w:type="character" w:styleId="IntenseEmphasis">
    <w:name w:val="Intense Emphasis"/>
    <w:basedOn w:val="DefaultParagraphFont"/>
    <w:uiPriority w:val="21"/>
    <w:qFormat/>
    <w:rsid w:val="005000F9"/>
    <w:rPr>
      <w:i/>
      <w:iCs/>
      <w:color w:val="2F5496" w:themeColor="accent1" w:themeShade="BF"/>
    </w:rPr>
  </w:style>
  <w:style w:type="paragraph" w:styleId="IntenseQuote">
    <w:name w:val="Intense Quote"/>
    <w:basedOn w:val="Normal"/>
    <w:next w:val="Normal"/>
    <w:link w:val="IntenseQuoteChar"/>
    <w:uiPriority w:val="30"/>
    <w:qFormat/>
    <w:rsid w:val="00500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0F9"/>
    <w:rPr>
      <w:i/>
      <w:iCs/>
      <w:color w:val="2F5496" w:themeColor="accent1" w:themeShade="BF"/>
    </w:rPr>
  </w:style>
  <w:style w:type="character" w:styleId="IntenseReference">
    <w:name w:val="Intense Reference"/>
    <w:basedOn w:val="DefaultParagraphFont"/>
    <w:uiPriority w:val="32"/>
    <w:qFormat/>
    <w:rsid w:val="005000F9"/>
    <w:rPr>
      <w:b/>
      <w:bCs/>
      <w:smallCaps/>
      <w:color w:val="2F5496" w:themeColor="accent1" w:themeShade="BF"/>
      <w:spacing w:val="5"/>
    </w:rPr>
  </w:style>
  <w:style w:type="paragraph" w:customStyle="1" w:styleId="Default">
    <w:name w:val="Default"/>
    <w:rsid w:val="005000F9"/>
    <w:pPr>
      <w:autoSpaceDE w:val="0"/>
      <w:autoSpaceDN w:val="0"/>
      <w:adjustRightInd w:val="0"/>
      <w:spacing w:after="0" w:line="240" w:lineRule="auto"/>
    </w:pPr>
    <w:rPr>
      <w:rFonts w:ascii="Arial" w:hAnsi="Arial" w:cs="Arial"/>
      <w:color w:val="000000"/>
      <w:kern w:val="0"/>
      <w:sz w:val="24"/>
      <w:szCs w:val="24"/>
      <w14:ligatures w14:val="none"/>
    </w:rPr>
  </w:style>
  <w:style w:type="table" w:styleId="TableGrid">
    <w:name w:val="Table Grid"/>
    <w:basedOn w:val="TableNormal"/>
    <w:uiPriority w:val="39"/>
    <w:rsid w:val="005000F9"/>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5000F9"/>
    <w:rPr>
      <w:sz w:val="16"/>
      <w:szCs w:val="16"/>
    </w:rPr>
  </w:style>
  <w:style w:type="paragraph" w:styleId="CommentText">
    <w:name w:val="annotation text"/>
    <w:basedOn w:val="Normal"/>
    <w:link w:val="CommentTextChar"/>
    <w:uiPriority w:val="99"/>
    <w:semiHidden/>
    <w:rsid w:val="005000F9"/>
    <w:pPr>
      <w:spacing w:before="130" w:after="120"/>
      <w:jc w:val="both"/>
    </w:pPr>
  </w:style>
  <w:style w:type="character" w:customStyle="1" w:styleId="CommentTextChar">
    <w:name w:val="Comment Text Char"/>
    <w:basedOn w:val="DefaultParagraphFont"/>
    <w:link w:val="CommentText"/>
    <w:uiPriority w:val="99"/>
    <w:semiHidden/>
    <w:rsid w:val="005000F9"/>
    <w:rPr>
      <w:rFonts w:ascii="Batang" w:eastAsia="Batang" w:hAnsi="Batang" w:cs="Times New Roman"/>
      <w:kern w:val="0"/>
      <w:sz w:val="20"/>
      <w:szCs w:val="20"/>
      <w14:ligatures w14:val="none"/>
    </w:rPr>
  </w:style>
  <w:style w:type="character" w:customStyle="1" w:styleId="ListParagraphChar">
    <w:name w:val="List Paragraph Char"/>
    <w:aliases w:val="F5 List Paragraph Char,List Paragraph1 Char,List Paragraph11 Char,Bullets Char,Dot pt Char,No Spacing1 Char,List Paragraph Char Char Char Char,Indicator Text Char,Numbered Para 1 Char,Bullet 1 Char,Bullet Points Char"/>
    <w:link w:val="ListParagraph"/>
    <w:uiPriority w:val="34"/>
    <w:qFormat/>
    <w:locked/>
    <w:rsid w:val="005000F9"/>
  </w:style>
  <w:style w:type="paragraph" w:customStyle="1" w:styleId="paragraph">
    <w:name w:val="paragraph"/>
    <w:basedOn w:val="Normal"/>
    <w:rsid w:val="005000F9"/>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5000F9"/>
  </w:style>
  <w:style w:type="character" w:customStyle="1" w:styleId="eop">
    <w:name w:val="eop"/>
    <w:basedOn w:val="DefaultParagraphFont"/>
    <w:rsid w:val="005000F9"/>
  </w:style>
  <w:style w:type="paragraph" w:styleId="CommentSubject">
    <w:name w:val="annotation subject"/>
    <w:basedOn w:val="CommentText"/>
    <w:next w:val="CommentText"/>
    <w:link w:val="CommentSubjectChar"/>
    <w:uiPriority w:val="99"/>
    <w:semiHidden/>
    <w:unhideWhenUsed/>
    <w:rsid w:val="0002442C"/>
    <w:pPr>
      <w:spacing w:before="0" w:after="0"/>
      <w:jc w:val="left"/>
    </w:pPr>
    <w:rPr>
      <w:b/>
      <w:bCs/>
    </w:rPr>
  </w:style>
  <w:style w:type="character" w:customStyle="1" w:styleId="CommentSubjectChar">
    <w:name w:val="Comment Subject Char"/>
    <w:basedOn w:val="CommentTextChar"/>
    <w:link w:val="CommentSubject"/>
    <w:uiPriority w:val="99"/>
    <w:semiHidden/>
    <w:rsid w:val="0002442C"/>
    <w:rPr>
      <w:rFonts w:ascii="Batang" w:eastAsia="Batang" w:hAnsi="Batang" w:cs="Times New Roman"/>
      <w:b/>
      <w:bCs/>
      <w:kern w:val="0"/>
      <w:sz w:val="20"/>
      <w:szCs w:val="20"/>
      <w14:ligatures w14:val="none"/>
    </w:rPr>
  </w:style>
  <w:style w:type="character" w:styleId="Hyperlink">
    <w:name w:val="Hyperlink"/>
    <w:basedOn w:val="DefaultParagraphFont"/>
    <w:uiPriority w:val="99"/>
    <w:unhideWhenUsed/>
    <w:rsid w:val="00186AB5"/>
    <w:rPr>
      <w:color w:val="0563C1" w:themeColor="hyperlink"/>
      <w:u w:val="single"/>
    </w:rPr>
  </w:style>
  <w:style w:type="character" w:styleId="UnresolvedMention">
    <w:name w:val="Unresolved Mention"/>
    <w:basedOn w:val="DefaultParagraphFont"/>
    <w:uiPriority w:val="99"/>
    <w:semiHidden/>
    <w:unhideWhenUsed/>
    <w:rsid w:val="00186AB5"/>
    <w:rPr>
      <w:color w:val="605E5C"/>
      <w:shd w:val="clear" w:color="auto" w:fill="E1DFDD"/>
    </w:rPr>
  </w:style>
  <w:style w:type="paragraph" w:styleId="Revision">
    <w:name w:val="Revision"/>
    <w:hidden/>
    <w:uiPriority w:val="99"/>
    <w:semiHidden/>
    <w:rsid w:val="006D0AA5"/>
    <w:pPr>
      <w:spacing w:after="0" w:line="240" w:lineRule="auto"/>
    </w:pPr>
    <w:rPr>
      <w:rFonts w:ascii="Batang" w:eastAsia="Batang" w:hAnsi="Batang" w:cs="Times New Roman"/>
      <w:kern w:val="0"/>
      <w:sz w:val="20"/>
      <w:szCs w:val="20"/>
      <w14:ligatures w14:val="none"/>
    </w:rPr>
  </w:style>
  <w:style w:type="paragraph" w:styleId="Header">
    <w:name w:val="header"/>
    <w:basedOn w:val="Normal"/>
    <w:link w:val="HeaderChar"/>
    <w:uiPriority w:val="99"/>
    <w:unhideWhenUsed/>
    <w:rsid w:val="006F7DD9"/>
    <w:pPr>
      <w:tabs>
        <w:tab w:val="center" w:pos="4513"/>
        <w:tab w:val="right" w:pos="9026"/>
      </w:tabs>
    </w:pPr>
  </w:style>
  <w:style w:type="character" w:customStyle="1" w:styleId="HeaderChar">
    <w:name w:val="Header Char"/>
    <w:basedOn w:val="DefaultParagraphFont"/>
    <w:link w:val="Header"/>
    <w:uiPriority w:val="99"/>
    <w:rsid w:val="006F7DD9"/>
    <w:rPr>
      <w:rFonts w:ascii="Batang" w:eastAsia="Batang" w:hAnsi="Batang" w:cs="Times New Roman"/>
      <w:kern w:val="0"/>
      <w:sz w:val="20"/>
      <w:szCs w:val="20"/>
      <w14:ligatures w14:val="none"/>
    </w:rPr>
  </w:style>
  <w:style w:type="paragraph" w:styleId="Footer">
    <w:name w:val="footer"/>
    <w:basedOn w:val="Normal"/>
    <w:link w:val="FooterChar"/>
    <w:uiPriority w:val="99"/>
    <w:unhideWhenUsed/>
    <w:rsid w:val="006F7DD9"/>
    <w:pPr>
      <w:tabs>
        <w:tab w:val="center" w:pos="4513"/>
        <w:tab w:val="right" w:pos="9026"/>
      </w:tabs>
    </w:pPr>
  </w:style>
  <w:style w:type="character" w:customStyle="1" w:styleId="FooterChar">
    <w:name w:val="Footer Char"/>
    <w:basedOn w:val="DefaultParagraphFont"/>
    <w:link w:val="Footer"/>
    <w:uiPriority w:val="99"/>
    <w:rsid w:val="006F7DD9"/>
    <w:rPr>
      <w:rFonts w:ascii="Batang" w:eastAsia="Batang" w:hAnsi="Batang"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fteams.sharepoint.com/sites/NOFPublicSharing/Shared%20Documents/Forms/AllItems.aspx?id=%2Fsites%2FNOFPublicSharing%2FShared%20Documents%2FEnergi%20Coast%2FDraft%2010%20Year%20Strategy%2FFinal%2010%20Year%20Strategy%2F10%20Year%20Vision%20and%20Strategy%20for%20North%20East%20England%20Offshore%20Wind%2Epdf&amp;parent=%2Fsites%2FNOFPublicSharing%2FShared%20Documents%2FEnergi%20Coast%2FDraft%2010%20Year%20Strategy%2FFinal%2010%20Year%20Strategy&amp;p=true&amp;ga=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theast-ca.gov.uk/local-growth-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shore.wind@northeast-ca.gov.uk" TargetMode="External"/><Relationship Id="rId5" Type="http://schemas.openxmlformats.org/officeDocument/2006/relationships/numbering" Target="numbering.xml"/><Relationship Id="rId15" Type="http://schemas.openxmlformats.org/officeDocument/2006/relationships/hyperlink" Target="https://www.renewableuk.com/media/rqvlqzu0/offshore-wind-industrial-growth-plan.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lean-energy-industries-sector-pla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87c1c2e-0242-46eb-9b69-16b1d7ad91d0" xsi:nil="true"/>
    <lcf76f155ced4ddcb4097134ff3c332f xmlns="987c1c2e-0242-46eb-9b69-16b1d7ad91d0">
      <Terms xmlns="http://schemas.microsoft.com/office/infopath/2007/PartnerControls"/>
    </lcf76f155ced4ddcb4097134ff3c332f>
    <TaxCatchAll xmlns="a6629934-8f11-43d4-9284-a90f0692aa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4D7D90D3189D47AE66A2D9346DDC16" ma:contentTypeVersion="20" ma:contentTypeDescription="Create a new document." ma:contentTypeScope="" ma:versionID="a19dc8cf1b0ff2778a43da99a0175478">
  <xsd:schema xmlns:xsd="http://www.w3.org/2001/XMLSchema" xmlns:xs="http://www.w3.org/2001/XMLSchema" xmlns:p="http://schemas.microsoft.com/office/2006/metadata/properties" xmlns:ns2="987c1c2e-0242-46eb-9b69-16b1d7ad91d0" xmlns:ns3="a6629934-8f11-43d4-9284-a90f0692aadb" targetNamespace="http://schemas.microsoft.com/office/2006/metadata/properties" ma:root="true" ma:fieldsID="c1d5ce468c8a8c7025377acfb2eb7b5d" ns2:_="" ns3:_="">
    <xsd:import namespace="987c1c2e-0242-46eb-9b69-16b1d7ad91d0"/>
    <xsd:import namespace="a6629934-8f11-43d4-9284-a90f0692aa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c1c2e-0242-46eb-9b69-16b1d7ad9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29934-8f11-43d4-9284-a90f0692aad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9ea228-f7cb-4702-a653-b2f212adc1bb}" ma:internalName="TaxCatchAll" ma:showField="CatchAllData" ma:web="a6629934-8f11-43d4-9284-a90f0692a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85F5F-7297-411C-A97D-5A0D1E58F5A9}">
  <ds:schemaRefs>
    <ds:schemaRef ds:uri="http://schemas.microsoft.com/office/2006/metadata/properties"/>
    <ds:schemaRef ds:uri="http://schemas.microsoft.com/office/infopath/2007/PartnerControls"/>
    <ds:schemaRef ds:uri="987c1c2e-0242-46eb-9b69-16b1d7ad91d0"/>
    <ds:schemaRef ds:uri="a6629934-8f11-43d4-9284-a90f0692aadb"/>
  </ds:schemaRefs>
</ds:datastoreItem>
</file>

<file path=customXml/itemProps2.xml><?xml version="1.0" encoding="utf-8"?>
<ds:datastoreItem xmlns:ds="http://schemas.openxmlformats.org/officeDocument/2006/customXml" ds:itemID="{99650E9A-68B7-48C1-AB26-70143DA70675}">
  <ds:schemaRefs>
    <ds:schemaRef ds:uri="http://schemas.microsoft.com/sharepoint/v3/contenttype/forms"/>
  </ds:schemaRefs>
</ds:datastoreItem>
</file>

<file path=customXml/itemProps3.xml><?xml version="1.0" encoding="utf-8"?>
<ds:datastoreItem xmlns:ds="http://schemas.openxmlformats.org/officeDocument/2006/customXml" ds:itemID="{F2A3E3BE-6399-4BE0-9FDC-CB0F925D8B6D}">
  <ds:schemaRefs>
    <ds:schemaRef ds:uri="http://schemas.openxmlformats.org/officeDocument/2006/bibliography"/>
  </ds:schemaRefs>
</ds:datastoreItem>
</file>

<file path=customXml/itemProps4.xml><?xml version="1.0" encoding="utf-8"?>
<ds:datastoreItem xmlns:ds="http://schemas.openxmlformats.org/officeDocument/2006/customXml" ds:itemID="{C74195F6-213C-45D3-8B63-7E053DF6D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c1c2e-0242-46eb-9b69-16b1d7ad91d0"/>
    <ds:schemaRef ds:uri="a6629934-8f11-43d4-9284-a90f0692a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1547</Words>
  <Characters>8821</Characters>
  <Application>Microsoft Office Word</Application>
  <DocSecurity>4</DocSecurity>
  <Lines>73</Lines>
  <Paragraphs>20</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Evans (North East CA)</dc:creator>
  <cp:keywords/>
  <dc:description/>
  <cp:lastModifiedBy>Marianne O'Sullivan (North East CA)</cp:lastModifiedBy>
  <cp:revision>177</cp:revision>
  <dcterms:created xsi:type="dcterms:W3CDTF">2026-03-19T02:34:00Z</dcterms:created>
  <dcterms:modified xsi:type="dcterms:W3CDTF">2026-05-14T12:37:00Z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0x010100B54D7D90D3189D47AE66A2D9346DDC16</vt:lpwstr>
  </property>
  <property fmtid="{D5CDD505-2E9C-101B-9397-08002B2CF9AE}" pid="3" name="MediaServiceImageTags">
    <vt:lpwstr/>
  </property>
  <property fmtid="{D5CDD505-2E9C-101B-9397-08002B2CF9AE}" pid="4" name="docLang">
    <vt:lpwstr>en</vt:lpwstr>
  </property>
</Properties>
</file>